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70E67" w:rsidRDefault="00C06BA2">
      <w:pPr>
        <w:widowControl w:val="0"/>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w:t>
      </w:r>
      <w:r>
        <w:rPr>
          <w:rFonts w:ascii="Arial" w:hAnsi="Arial" w:cs="Arial" w:hint="eastAsia"/>
          <w:b/>
          <w:bCs/>
          <w:sz w:val="22"/>
          <w:szCs w:val="22"/>
        </w:rPr>
        <w:t>6</w:t>
      </w:r>
      <w:r>
        <w:rPr>
          <w:rFonts w:ascii="Arial" w:hAnsi="Arial" w:cs="Arial" w:hint="eastAsia"/>
          <w:b/>
          <w:bCs/>
          <w:sz w:val="22"/>
          <w:szCs w:val="22"/>
        </w:rPr>
        <w:t>-</w:t>
      </w:r>
      <w:r>
        <w:rPr>
          <w:rFonts w:ascii="Arial" w:hAnsi="Arial" w:cs="Arial"/>
          <w:b/>
          <w:bCs/>
          <w:sz w:val="22"/>
          <w:szCs w:val="22"/>
        </w:rPr>
        <w:t>e</w:t>
      </w:r>
      <w:r>
        <w:rPr>
          <w:rFonts w:ascii="Arial" w:hAnsi="Arial" w:cs="Arial"/>
          <w:b/>
          <w:bCs/>
          <w:sz w:val="22"/>
          <w:szCs w:val="22"/>
        </w:rPr>
        <w:tab/>
      </w:r>
      <w:r>
        <w:rPr>
          <w:rFonts w:ascii="Arial" w:hAnsi="Arial" w:cs="Arial" w:hint="eastAsia"/>
          <w:b/>
          <w:bCs/>
          <w:sz w:val="22"/>
          <w:szCs w:val="22"/>
        </w:rPr>
        <w:t xml:space="preserve">                                              R1-21</w:t>
      </w:r>
      <w:r>
        <w:rPr>
          <w:rFonts w:ascii="Arial" w:hAnsi="Arial" w:cs="Arial" w:hint="eastAsia"/>
          <w:b/>
          <w:bCs/>
          <w:sz w:val="22"/>
          <w:szCs w:val="22"/>
        </w:rPr>
        <w:t>07825</w:t>
      </w:r>
    </w:p>
    <w:p w:rsidR="00D70E67" w:rsidRDefault="00C06BA2">
      <w:pPr>
        <w:widowControl w:val="0"/>
        <w:tabs>
          <w:tab w:val="center" w:pos="4536"/>
          <w:tab w:val="right" w:pos="9639"/>
        </w:tabs>
        <w:spacing w:beforeLines="0" w:after="120" w:line="240" w:lineRule="auto"/>
        <w:ind w:right="2"/>
        <w:rPr>
          <w:rFonts w:ascii="Arial" w:hAnsi="Arial" w:cs="Arial"/>
          <w:b/>
          <w:bCs/>
          <w:sz w:val="22"/>
          <w:szCs w:val="22"/>
        </w:rPr>
      </w:pPr>
      <w:r>
        <w:rPr>
          <w:rFonts w:ascii="Arial" w:eastAsia="MS Mincho" w:hAnsi="Arial" w:cs="Arial"/>
          <w:b/>
          <w:bCs/>
          <w:sz w:val="22"/>
          <w:szCs w:val="22"/>
          <w:lang w:eastAsia="ja-JP"/>
        </w:rPr>
        <w:t>e-Meeting,</w:t>
      </w:r>
      <w:r>
        <w:rPr>
          <w:rFonts w:ascii="Arial" w:hAnsi="Arial" w:cs="Arial"/>
          <w:b/>
          <w:bCs/>
          <w:sz w:val="22"/>
          <w:szCs w:val="22"/>
          <w:lang w:eastAsia="ja-JP"/>
        </w:rPr>
        <w:t xml:space="preserve"> </w:t>
      </w:r>
      <w:r>
        <w:rPr>
          <w:rFonts w:ascii="Arial" w:hAnsi="Arial" w:cs="Arial" w:hint="eastAsia"/>
          <w:b/>
          <w:bCs/>
          <w:sz w:val="22"/>
          <w:szCs w:val="22"/>
        </w:rPr>
        <w:t>August</w:t>
      </w:r>
      <w:r>
        <w:rPr>
          <w:rFonts w:ascii="Arial" w:hAnsi="Arial" w:cs="Arial"/>
          <w:b/>
          <w:bCs/>
          <w:sz w:val="22"/>
          <w:szCs w:val="22"/>
        </w:rPr>
        <w:t xml:space="preserve"> 1</w:t>
      </w:r>
      <w:r>
        <w:rPr>
          <w:rFonts w:ascii="Arial" w:hAnsi="Arial" w:cs="Arial" w:hint="eastAsia"/>
          <w:b/>
          <w:bCs/>
          <w:sz w:val="22"/>
          <w:szCs w:val="22"/>
        </w:rPr>
        <w:t>6</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b/>
          <w:bCs/>
          <w:sz w:val="22"/>
          <w:szCs w:val="22"/>
        </w:rPr>
        <w:t>27</w:t>
      </w:r>
      <w:r>
        <w:rPr>
          <w:rFonts w:ascii="Arial" w:hAnsi="Arial" w:cs="Arial"/>
          <w:b/>
          <w:bCs/>
          <w:sz w:val="22"/>
          <w:szCs w:val="22"/>
          <w:vertAlign w:val="superscript"/>
          <w:lang w:eastAsia="ja-JP"/>
        </w:rPr>
        <w:t>th</w:t>
      </w:r>
      <w:r>
        <w:rPr>
          <w:rFonts w:ascii="Arial" w:eastAsia="MS Mincho" w:hAnsi="Arial" w:cs="Arial"/>
          <w:b/>
          <w:bCs/>
          <w:sz w:val="22"/>
          <w:szCs w:val="22"/>
          <w:lang w:eastAsia="ja-JP"/>
        </w:rPr>
        <w:t>, 2021</w:t>
      </w:r>
    </w:p>
    <w:p w:rsidR="00D70E67" w:rsidRDefault="00C06BA2">
      <w:pPr>
        <w:widowControl w:val="0"/>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Enhancements for simultaneous operation of child and parent links</w:t>
      </w:r>
    </w:p>
    <w:p w:rsidR="00D70E67" w:rsidRDefault="00C06BA2">
      <w:pPr>
        <w:widowControl w:val="0"/>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D70E67" w:rsidRDefault="00C06BA2">
      <w:pPr>
        <w:widowControl w:val="0"/>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8.10.2</w:t>
      </w:r>
    </w:p>
    <w:p w:rsidR="00D70E67" w:rsidRDefault="00C06BA2">
      <w:pPr>
        <w:widowControl w:val="0"/>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70E67" w:rsidRDefault="00C06BA2">
      <w:pPr>
        <w:pStyle w:val="1"/>
        <w:keepNext w:val="0"/>
        <w:keepLines w:val="0"/>
        <w:widowControl w:val="0"/>
        <w:spacing w:before="120" w:after="120"/>
        <w:ind w:left="0"/>
        <w:rPr>
          <w:rFonts w:eastAsia="宋体"/>
        </w:rPr>
      </w:pPr>
      <w:r>
        <w:rPr>
          <w:rFonts w:eastAsia="宋体" w:hint="eastAsia"/>
        </w:rPr>
        <w:t>Introduction</w:t>
      </w:r>
    </w:p>
    <w:p w:rsidR="00D70E67" w:rsidRDefault="00C06BA2">
      <w:pPr>
        <w:widowControl w:val="0"/>
        <w:spacing w:before="120" w:after="120"/>
        <w:rPr>
          <w:sz w:val="20"/>
        </w:rPr>
      </w:pPr>
      <w:r>
        <w:rPr>
          <w:rFonts w:hint="eastAsia"/>
          <w:sz w:val="20"/>
        </w:rPr>
        <w:t>I</w:t>
      </w:r>
      <w:r>
        <w:rPr>
          <w:sz w:val="20"/>
        </w:rPr>
        <w:t>n order to support simultaneous operation</w:t>
      </w:r>
      <w:r>
        <w:rPr>
          <w:rFonts w:hint="eastAsia"/>
          <w:sz w:val="20"/>
        </w:rPr>
        <w:t xml:space="preserve"> </w:t>
      </w:r>
      <w:r>
        <w:rPr>
          <w:sz w:val="20"/>
        </w:rPr>
        <w:t>by IAB-node’s child and parent links</w:t>
      </w:r>
      <w:r>
        <w:rPr>
          <w:rFonts w:hint="eastAsia"/>
          <w:sz w:val="20"/>
        </w:rPr>
        <w:t>, some enhancements</w:t>
      </w:r>
      <w:r>
        <w:rPr>
          <w:sz w:val="20"/>
        </w:rPr>
        <w:t xml:space="preserve"> such as</w:t>
      </w:r>
      <w:r>
        <w:rPr>
          <w:rFonts w:hint="eastAsia"/>
          <w:sz w:val="20"/>
        </w:rPr>
        <w:t xml:space="preserve"> </w:t>
      </w:r>
      <w:r>
        <w:rPr>
          <w:sz w:val="20"/>
        </w:rPr>
        <w:t>IAB-node timing, DL/UL power control</w:t>
      </w:r>
      <w:r>
        <w:rPr>
          <w:rFonts w:hint="eastAsia"/>
          <w:sz w:val="20"/>
        </w:rPr>
        <w:t>/sharing</w:t>
      </w:r>
      <w:r>
        <w:rPr>
          <w:sz w:val="20"/>
        </w:rPr>
        <w:t>,</w:t>
      </w:r>
      <w:r>
        <w:rPr>
          <w:rFonts w:hint="eastAsia"/>
          <w:sz w:val="20"/>
        </w:rPr>
        <w:t xml:space="preserve"> </w:t>
      </w:r>
      <w:r>
        <w:rPr>
          <w:sz w:val="20"/>
        </w:rPr>
        <w:t>and CLI and interference measurements</w:t>
      </w:r>
      <w:r>
        <w:rPr>
          <w:rFonts w:hint="eastAsia"/>
          <w:sz w:val="20"/>
        </w:rPr>
        <w:t xml:space="preserve"> were discussed. In this cont</w:t>
      </w:r>
      <w:r>
        <w:rPr>
          <w:rFonts w:hint="eastAsia"/>
          <w:sz w:val="20"/>
        </w:rPr>
        <w:t>ribution, more views on these aspects are provided.</w:t>
      </w:r>
    </w:p>
    <w:p w:rsidR="00D70E67" w:rsidRDefault="00C06BA2">
      <w:pPr>
        <w:pStyle w:val="1"/>
        <w:keepNext w:val="0"/>
        <w:keepLines w:val="0"/>
        <w:widowControl w:val="0"/>
        <w:pBdr>
          <w:top w:val="none" w:sz="0" w:space="0" w:color="auto"/>
        </w:pBdr>
        <w:snapToGrid w:val="0"/>
        <w:spacing w:before="120" w:after="120" w:line="240" w:lineRule="auto"/>
        <w:ind w:left="431" w:hanging="431"/>
        <w:jc w:val="left"/>
      </w:pPr>
      <w:r>
        <w:rPr>
          <w:rFonts w:eastAsia="黑体" w:hint="eastAsia"/>
          <w:szCs w:val="30"/>
        </w:rPr>
        <w:t>Enhancements for simultaneous operation</w:t>
      </w:r>
    </w:p>
    <w:p w:rsidR="00D70E67" w:rsidRDefault="00C06BA2">
      <w:pPr>
        <w:pStyle w:val="2"/>
        <w:widowControl w:val="0"/>
        <w:spacing w:before="120" w:after="120"/>
        <w:ind w:right="210"/>
        <w:rPr>
          <w:rFonts w:ascii="Arial" w:hAnsi="Arial" w:cs="Arial"/>
        </w:rPr>
      </w:pPr>
      <w:r>
        <w:rPr>
          <w:rFonts w:ascii="Arial" w:hAnsi="Arial" w:cs="Arial" w:hint="eastAsia"/>
        </w:rPr>
        <w:t>2.1 T</w:t>
      </w:r>
      <w:r>
        <w:rPr>
          <w:rFonts w:ascii="Arial" w:hAnsi="Arial" w:cs="Arial"/>
        </w:rPr>
        <w:t>iming cases for simultaneous operation</w:t>
      </w:r>
    </w:p>
    <w:p w:rsidR="00D70E67" w:rsidRDefault="00C06BA2">
      <w:pPr>
        <w:widowControl w:val="0"/>
        <w:spacing w:before="120" w:after="120"/>
        <w:rPr>
          <w:sz w:val="20"/>
        </w:rPr>
      </w:pPr>
      <w:r>
        <w:rPr>
          <w:sz w:val="20"/>
        </w:rPr>
        <w:t>The following agreements have been made in RAN1#10</w:t>
      </w:r>
      <w:r>
        <w:rPr>
          <w:rFonts w:hint="eastAsia"/>
          <w:sz w:val="20"/>
        </w:rPr>
        <w:t>5</w:t>
      </w:r>
      <w:r>
        <w:rPr>
          <w:sz w:val="20"/>
        </w:rPr>
        <w:t xml:space="preserve">-e on </w:t>
      </w:r>
      <w:r>
        <w:rPr>
          <w:rFonts w:hint="eastAsia"/>
          <w:sz w:val="20"/>
        </w:rPr>
        <w:t xml:space="preserve">timing </w:t>
      </w:r>
      <w:r>
        <w:rPr>
          <w:sz w:val="20"/>
        </w:rPr>
        <w:t>[1]:</w:t>
      </w:r>
    </w:p>
    <w:tbl>
      <w:tblPr>
        <w:tblStyle w:val="ae"/>
        <w:tblW w:w="0" w:type="auto"/>
        <w:tblLook w:val="04A0" w:firstRow="1" w:lastRow="0" w:firstColumn="1" w:lastColumn="0" w:noHBand="0" w:noVBand="1"/>
      </w:tblPr>
      <w:tblGrid>
        <w:gridCol w:w="9876"/>
      </w:tblGrid>
      <w:tr w:rsidR="00D70E67">
        <w:trPr>
          <w:trHeight w:val="1120"/>
        </w:trPr>
        <w:tc>
          <w:tcPr>
            <w:tcW w:w="9876" w:type="dxa"/>
          </w:tcPr>
          <w:p w:rsidR="00D70E67" w:rsidRDefault="00C06BA2">
            <w:pPr>
              <w:spacing w:before="120" w:after="120"/>
              <w:rPr>
                <w:b/>
                <w:bCs/>
                <w:sz w:val="20"/>
                <w:highlight w:val="yellow"/>
              </w:rPr>
            </w:pPr>
            <w:r>
              <w:rPr>
                <w:b/>
                <w:bCs/>
                <w:sz w:val="20"/>
                <w:highlight w:val="green"/>
              </w:rPr>
              <w:t>Agreement</w:t>
            </w:r>
          </w:p>
          <w:p w:rsidR="00D70E67" w:rsidRDefault="00C06BA2">
            <w:pPr>
              <w:spacing w:before="120" w:after="120"/>
              <w:rPr>
                <w:bCs/>
                <w:color w:val="000000"/>
                <w:sz w:val="20"/>
              </w:rPr>
            </w:pPr>
            <w:r>
              <w:rPr>
                <w:bCs/>
                <w:color w:val="000000"/>
                <w:sz w:val="20"/>
              </w:rPr>
              <w:t xml:space="preserve">RAN1 to downselect how the IAB-MT Tx </w:t>
            </w:r>
            <w:r>
              <w:rPr>
                <w:bCs/>
                <w:color w:val="000000"/>
                <w:sz w:val="20"/>
              </w:rPr>
              <w:t>timing is set for Case 6 timing at a given IAB-node:</w:t>
            </w:r>
          </w:p>
          <w:p w:rsidR="00D70E67" w:rsidRDefault="00C06BA2">
            <w:pPr>
              <w:pStyle w:val="af4"/>
              <w:numPr>
                <w:ilvl w:val="0"/>
                <w:numId w:val="8"/>
              </w:numPr>
              <w:spacing w:after="120"/>
              <w:textAlignment w:val="baseline"/>
              <w:rPr>
                <w:sz w:val="20"/>
                <w:szCs w:val="20"/>
              </w:rPr>
            </w:pPr>
            <w:r>
              <w:rPr>
                <w:sz w:val="20"/>
                <w:szCs w:val="20"/>
              </w:rPr>
              <w:t>Alt1: the IAB-MT Tx timing is obtained by the node via the legacy TA loop plus an offset from the parent node.</w:t>
            </w:r>
          </w:p>
          <w:p w:rsidR="00D70E67" w:rsidRDefault="00C06BA2">
            <w:pPr>
              <w:pStyle w:val="af4"/>
              <w:numPr>
                <w:ilvl w:val="1"/>
                <w:numId w:val="8"/>
              </w:numPr>
              <w:spacing w:after="120"/>
              <w:textAlignment w:val="baseline"/>
              <w:rPr>
                <w:sz w:val="20"/>
                <w:szCs w:val="20"/>
              </w:rPr>
            </w:pPr>
            <w:r>
              <w:rPr>
                <w:sz w:val="20"/>
                <w:szCs w:val="20"/>
              </w:rPr>
              <w:t>FFS details of the required offset.</w:t>
            </w:r>
          </w:p>
          <w:p w:rsidR="00D70E67" w:rsidRDefault="00C06BA2">
            <w:pPr>
              <w:pStyle w:val="af4"/>
              <w:numPr>
                <w:ilvl w:val="0"/>
                <w:numId w:val="8"/>
              </w:numPr>
              <w:spacing w:after="120"/>
              <w:textAlignment w:val="baseline"/>
              <w:rPr>
                <w:sz w:val="20"/>
                <w:szCs w:val="20"/>
              </w:rPr>
            </w:pPr>
            <w:r>
              <w:rPr>
                <w:sz w:val="20"/>
                <w:szCs w:val="20"/>
              </w:rPr>
              <w:t xml:space="preserve">Alt2: the IAB-MT Tx timing is set by the node to the </w:t>
            </w:r>
            <w:r>
              <w:rPr>
                <w:sz w:val="20"/>
                <w:szCs w:val="20"/>
              </w:rPr>
              <w:t>timing obtained for the node’s DL Tx.</w:t>
            </w:r>
          </w:p>
          <w:p w:rsidR="00D70E67" w:rsidRDefault="00C06BA2">
            <w:pPr>
              <w:pStyle w:val="af4"/>
              <w:numPr>
                <w:ilvl w:val="0"/>
                <w:numId w:val="8"/>
              </w:numPr>
              <w:spacing w:after="120"/>
              <w:textAlignment w:val="baseline"/>
              <w:rPr>
                <w:sz w:val="20"/>
                <w:szCs w:val="20"/>
              </w:rPr>
            </w:pPr>
            <w:r>
              <w:rPr>
                <w:sz w:val="20"/>
                <w:szCs w:val="20"/>
              </w:rPr>
              <w:t>Alt3: the IAB-MT Tx timing is obtained by the node jointly with the IAB-DU Tx timing via a common offset from the parent node.</w:t>
            </w:r>
          </w:p>
          <w:p w:rsidR="00D70E67" w:rsidRDefault="00C06BA2">
            <w:pPr>
              <w:spacing w:before="120" w:after="120"/>
              <w:rPr>
                <w:bCs/>
                <w:sz w:val="20"/>
              </w:rPr>
            </w:pPr>
            <w:r>
              <w:rPr>
                <w:bCs/>
                <w:sz w:val="20"/>
              </w:rPr>
              <w:t>Downselection to consider at least the following aspects:</w:t>
            </w:r>
          </w:p>
          <w:p w:rsidR="00D70E67" w:rsidRDefault="00C06BA2">
            <w:pPr>
              <w:pStyle w:val="af4"/>
              <w:numPr>
                <w:ilvl w:val="0"/>
                <w:numId w:val="8"/>
              </w:numPr>
              <w:spacing w:after="120"/>
              <w:textAlignment w:val="baseline"/>
              <w:rPr>
                <w:sz w:val="20"/>
                <w:szCs w:val="20"/>
              </w:rPr>
            </w:pPr>
            <w:r>
              <w:rPr>
                <w:sz w:val="20"/>
                <w:szCs w:val="20"/>
              </w:rPr>
              <w:t xml:space="preserve">Dependency of DL synchronization </w:t>
            </w:r>
            <w:r>
              <w:rPr>
                <w:sz w:val="20"/>
                <w:szCs w:val="20"/>
              </w:rPr>
              <w:t>schemes at the IAB-DU</w:t>
            </w:r>
          </w:p>
          <w:p w:rsidR="00D70E67" w:rsidRDefault="00C06BA2">
            <w:pPr>
              <w:pStyle w:val="af4"/>
              <w:numPr>
                <w:ilvl w:val="0"/>
                <w:numId w:val="8"/>
              </w:numPr>
              <w:spacing w:after="120"/>
              <w:textAlignment w:val="baseline"/>
              <w:rPr>
                <w:sz w:val="20"/>
                <w:szCs w:val="20"/>
              </w:rPr>
            </w:pPr>
            <w:r>
              <w:rPr>
                <w:sz w:val="20"/>
                <w:szCs w:val="20"/>
              </w:rPr>
              <w:t>Potential additional signaling overhead.</w:t>
            </w:r>
          </w:p>
          <w:p w:rsidR="00D70E67" w:rsidRDefault="00C06BA2">
            <w:pPr>
              <w:pStyle w:val="af4"/>
              <w:numPr>
                <w:ilvl w:val="0"/>
                <w:numId w:val="8"/>
              </w:numPr>
              <w:spacing w:after="120"/>
              <w:textAlignment w:val="baseline"/>
              <w:rPr>
                <w:sz w:val="20"/>
                <w:szCs w:val="20"/>
              </w:rPr>
            </w:pPr>
            <w:r>
              <w:rPr>
                <w:sz w:val="20"/>
                <w:szCs w:val="20"/>
              </w:rPr>
              <w:t>Achievable DU Tx / MT Tx alignment error tolerance.</w:t>
            </w:r>
          </w:p>
          <w:p w:rsidR="00D70E67" w:rsidRDefault="00C06BA2">
            <w:pPr>
              <w:pStyle w:val="af4"/>
              <w:numPr>
                <w:ilvl w:val="0"/>
                <w:numId w:val="8"/>
              </w:numPr>
              <w:spacing w:after="120"/>
              <w:textAlignment w:val="baseline"/>
              <w:rPr>
                <w:sz w:val="20"/>
                <w:szCs w:val="20"/>
              </w:rPr>
            </w:pPr>
            <w:r>
              <w:rPr>
                <w:sz w:val="20"/>
                <w:szCs w:val="20"/>
              </w:rPr>
              <w:t>Suitability for switching between timing modes.</w:t>
            </w:r>
          </w:p>
          <w:p w:rsidR="00D70E67" w:rsidRDefault="00D70E67">
            <w:pPr>
              <w:pStyle w:val="af4"/>
              <w:spacing w:after="120"/>
              <w:rPr>
                <w:b/>
                <w:bCs/>
                <w:sz w:val="20"/>
                <w:szCs w:val="20"/>
              </w:rPr>
            </w:pPr>
          </w:p>
          <w:p w:rsidR="00D70E67" w:rsidRDefault="00C06BA2">
            <w:pPr>
              <w:spacing w:before="120" w:after="120"/>
              <w:rPr>
                <w:b/>
                <w:bCs/>
                <w:sz w:val="20"/>
                <w:highlight w:val="yellow"/>
              </w:rPr>
            </w:pPr>
            <w:r>
              <w:rPr>
                <w:b/>
                <w:bCs/>
                <w:sz w:val="20"/>
                <w:highlight w:val="green"/>
              </w:rPr>
              <w:t>Agreement</w:t>
            </w:r>
          </w:p>
          <w:p w:rsidR="00D70E67" w:rsidRDefault="00C06BA2">
            <w:pPr>
              <w:spacing w:before="120" w:after="120"/>
              <w:rPr>
                <w:bCs/>
                <w:color w:val="000000"/>
                <w:sz w:val="20"/>
              </w:rPr>
            </w:pPr>
            <w:r>
              <w:rPr>
                <w:bCs/>
                <w:color w:val="000000"/>
                <w:sz w:val="20"/>
              </w:rPr>
              <w:t>RAN1 to downselect how the IAB-MT Tx timing is set at an IAB-node for Case 7 timin</w:t>
            </w:r>
            <w:r>
              <w:rPr>
                <w:bCs/>
                <w:color w:val="000000"/>
                <w:sz w:val="20"/>
              </w:rPr>
              <w:t>g at the parent node:</w:t>
            </w:r>
          </w:p>
          <w:p w:rsidR="00D70E67" w:rsidRDefault="00C06BA2">
            <w:pPr>
              <w:pStyle w:val="af4"/>
              <w:numPr>
                <w:ilvl w:val="0"/>
                <w:numId w:val="9"/>
              </w:numPr>
              <w:spacing w:after="120"/>
              <w:rPr>
                <w:bCs/>
                <w:color w:val="000000"/>
                <w:sz w:val="20"/>
                <w:szCs w:val="20"/>
              </w:rPr>
            </w:pPr>
            <w:r>
              <w:rPr>
                <w:bCs/>
                <w:color w:val="000000"/>
                <w:sz w:val="20"/>
                <w:szCs w:val="20"/>
              </w:rPr>
              <w:t>Alt1: the IAB-MT Tx timing of the node is obtained via the legacy TA loop plus an offset from the parent node.</w:t>
            </w:r>
          </w:p>
          <w:p w:rsidR="00D70E67" w:rsidRDefault="00C06BA2">
            <w:pPr>
              <w:pStyle w:val="af4"/>
              <w:numPr>
                <w:ilvl w:val="1"/>
                <w:numId w:val="9"/>
              </w:numPr>
              <w:spacing w:after="120"/>
              <w:rPr>
                <w:bCs/>
                <w:color w:val="000000"/>
                <w:sz w:val="20"/>
                <w:szCs w:val="20"/>
              </w:rPr>
            </w:pPr>
            <w:r>
              <w:rPr>
                <w:bCs/>
                <w:color w:val="000000"/>
                <w:sz w:val="20"/>
                <w:szCs w:val="20"/>
              </w:rPr>
              <w:t>FFS details of the required offset</w:t>
            </w:r>
          </w:p>
          <w:p w:rsidR="00D70E67" w:rsidRDefault="00C06BA2">
            <w:pPr>
              <w:pStyle w:val="af4"/>
              <w:numPr>
                <w:ilvl w:val="0"/>
                <w:numId w:val="9"/>
              </w:numPr>
              <w:spacing w:after="120"/>
              <w:rPr>
                <w:bCs/>
                <w:color w:val="000000"/>
                <w:sz w:val="20"/>
                <w:szCs w:val="20"/>
              </w:rPr>
            </w:pPr>
            <w:r>
              <w:rPr>
                <w:bCs/>
                <w:color w:val="000000"/>
                <w:sz w:val="20"/>
                <w:szCs w:val="20"/>
              </w:rPr>
              <w:t>Alt2: the IAB-MT Tx timing of the node is obtained via the legacy TA loop from the paren</w:t>
            </w:r>
            <w:r>
              <w:rPr>
                <w:bCs/>
                <w:color w:val="000000"/>
                <w:sz w:val="20"/>
                <w:szCs w:val="20"/>
              </w:rPr>
              <w:t>t node.</w:t>
            </w:r>
          </w:p>
          <w:p w:rsidR="00D70E67" w:rsidRDefault="00C06BA2">
            <w:pPr>
              <w:pStyle w:val="af4"/>
              <w:numPr>
                <w:ilvl w:val="0"/>
                <w:numId w:val="9"/>
              </w:numPr>
              <w:spacing w:after="120"/>
              <w:rPr>
                <w:bCs/>
                <w:i/>
                <w:color w:val="000000"/>
                <w:sz w:val="20"/>
                <w:szCs w:val="20"/>
              </w:rPr>
            </w:pPr>
            <w:r>
              <w:rPr>
                <w:rStyle w:val="af1"/>
                <w:bCs/>
                <w:i w:val="0"/>
                <w:sz w:val="20"/>
                <w:szCs w:val="20"/>
              </w:rPr>
              <w:t>Alt3: the IAB-MT Tx timing of the node is obtained via a Case 7 specific TA loop from the parent node.</w:t>
            </w:r>
          </w:p>
          <w:p w:rsidR="00D70E67" w:rsidRDefault="00C06BA2">
            <w:pPr>
              <w:spacing w:before="120" w:after="120"/>
              <w:rPr>
                <w:bCs/>
                <w:sz w:val="20"/>
              </w:rPr>
            </w:pPr>
            <w:r>
              <w:rPr>
                <w:bCs/>
                <w:sz w:val="20"/>
              </w:rPr>
              <w:t>Downselection to consider at least the following aspects:</w:t>
            </w:r>
          </w:p>
          <w:p w:rsidR="00D70E67" w:rsidRDefault="00C06BA2">
            <w:pPr>
              <w:pStyle w:val="af4"/>
              <w:numPr>
                <w:ilvl w:val="0"/>
                <w:numId w:val="9"/>
              </w:numPr>
              <w:spacing w:after="120"/>
              <w:rPr>
                <w:bCs/>
                <w:color w:val="000000"/>
                <w:sz w:val="20"/>
                <w:szCs w:val="20"/>
              </w:rPr>
            </w:pPr>
            <w:r>
              <w:rPr>
                <w:bCs/>
                <w:color w:val="000000"/>
                <w:sz w:val="20"/>
                <w:szCs w:val="20"/>
              </w:rPr>
              <w:t>Potential impact to OTA synchronization availability for DU Tx at the IAB-node.</w:t>
            </w:r>
          </w:p>
          <w:p w:rsidR="00D70E67" w:rsidRDefault="00C06BA2">
            <w:pPr>
              <w:pStyle w:val="af4"/>
              <w:numPr>
                <w:ilvl w:val="0"/>
                <w:numId w:val="9"/>
              </w:numPr>
              <w:spacing w:after="120"/>
              <w:rPr>
                <w:bCs/>
                <w:color w:val="000000"/>
                <w:sz w:val="20"/>
                <w:szCs w:val="20"/>
              </w:rPr>
            </w:pPr>
            <w:r>
              <w:rPr>
                <w:bCs/>
                <w:color w:val="000000"/>
                <w:sz w:val="20"/>
                <w:szCs w:val="20"/>
              </w:rPr>
              <w:t>Potential additional signaling overhead.</w:t>
            </w:r>
          </w:p>
          <w:p w:rsidR="00D70E67" w:rsidRDefault="00C06BA2">
            <w:pPr>
              <w:pStyle w:val="af4"/>
              <w:numPr>
                <w:ilvl w:val="0"/>
                <w:numId w:val="9"/>
              </w:numPr>
              <w:spacing w:after="120"/>
              <w:rPr>
                <w:bCs/>
                <w:color w:val="000000"/>
                <w:sz w:val="20"/>
                <w:szCs w:val="20"/>
              </w:rPr>
            </w:pPr>
            <w:r>
              <w:rPr>
                <w:bCs/>
                <w:color w:val="000000"/>
                <w:sz w:val="20"/>
                <w:szCs w:val="20"/>
              </w:rPr>
              <w:t>Suitability for switching between timing modes.</w:t>
            </w:r>
          </w:p>
          <w:p w:rsidR="00D70E67" w:rsidRDefault="00D70E67">
            <w:pPr>
              <w:spacing w:before="120" w:after="120"/>
              <w:rPr>
                <w:sz w:val="20"/>
              </w:rPr>
            </w:pPr>
          </w:p>
          <w:p w:rsidR="00D70E67" w:rsidRDefault="00C06BA2">
            <w:pPr>
              <w:spacing w:before="120" w:after="120"/>
              <w:rPr>
                <w:b/>
                <w:bCs/>
                <w:sz w:val="20"/>
                <w:highlight w:val="yellow"/>
              </w:rPr>
            </w:pPr>
            <w:r>
              <w:rPr>
                <w:b/>
                <w:bCs/>
                <w:sz w:val="20"/>
                <w:highlight w:val="green"/>
              </w:rPr>
              <w:lastRenderedPageBreak/>
              <w:t>Agreement</w:t>
            </w:r>
          </w:p>
          <w:p w:rsidR="00D70E67" w:rsidRDefault="00C06BA2">
            <w:pPr>
              <w:spacing w:before="120" w:after="120"/>
              <w:rPr>
                <w:bCs/>
                <w:sz w:val="20"/>
              </w:rPr>
            </w:pPr>
            <w:r>
              <w:rPr>
                <w:bCs/>
                <w:sz w:val="20"/>
              </w:rPr>
              <w:t xml:space="preserve">An IAB-node is indicated when Case 6 timing is </w:t>
            </w:r>
            <w:r>
              <w:rPr>
                <w:bCs/>
                <w:sz w:val="20"/>
              </w:rPr>
              <w:t xml:space="preserve">performed </w:t>
            </w:r>
            <w:r>
              <w:rPr>
                <w:bCs/>
                <w:sz w:val="20"/>
              </w:rPr>
              <w:t>at the IAB-node.</w:t>
            </w:r>
          </w:p>
          <w:p w:rsidR="00D70E67" w:rsidRDefault="00C06BA2">
            <w:pPr>
              <w:pStyle w:val="af4"/>
              <w:numPr>
                <w:ilvl w:val="0"/>
                <w:numId w:val="9"/>
              </w:numPr>
              <w:spacing w:after="120"/>
              <w:rPr>
                <w:bCs/>
                <w:color w:val="000000"/>
                <w:sz w:val="20"/>
                <w:szCs w:val="20"/>
              </w:rPr>
            </w:pPr>
            <w:r>
              <w:rPr>
                <w:bCs/>
                <w:color w:val="000000"/>
                <w:sz w:val="20"/>
                <w:szCs w:val="20"/>
              </w:rPr>
              <w:t xml:space="preserve">FFS details of the indication (e.g. semi-static and/or dynamic, implicit and/or </w:t>
            </w:r>
            <w:r>
              <w:rPr>
                <w:bCs/>
                <w:color w:val="000000"/>
                <w:sz w:val="20"/>
                <w:szCs w:val="20"/>
              </w:rPr>
              <w:t>explicit, linkage to multiplexing capability, etc.).</w:t>
            </w:r>
          </w:p>
          <w:p w:rsidR="00D70E67" w:rsidRDefault="00C06BA2">
            <w:pPr>
              <w:pStyle w:val="af4"/>
              <w:spacing w:after="120"/>
              <w:ind w:left="0"/>
              <w:rPr>
                <w:bCs/>
                <w:color w:val="000000"/>
                <w:sz w:val="20"/>
                <w:szCs w:val="20"/>
              </w:rPr>
            </w:pPr>
            <w:r>
              <w:rPr>
                <w:bCs/>
                <w:color w:val="000000"/>
                <w:sz w:val="20"/>
                <w:szCs w:val="20"/>
              </w:rPr>
              <w:t>FFS whether an IAB-node is also indicated when Case 7 timing is performed at the IAB-node.</w:t>
            </w:r>
          </w:p>
          <w:p w:rsidR="00D70E67" w:rsidRDefault="00D70E67">
            <w:pPr>
              <w:numPr>
                <w:ilvl w:val="255"/>
                <w:numId w:val="0"/>
              </w:numPr>
              <w:spacing w:before="120" w:after="120"/>
              <w:rPr>
                <w:sz w:val="20"/>
              </w:rPr>
            </w:pPr>
          </w:p>
        </w:tc>
      </w:tr>
    </w:tbl>
    <w:p w:rsidR="00D70E67" w:rsidRDefault="00D70E67">
      <w:pPr>
        <w:widowControl w:val="0"/>
        <w:spacing w:before="120" w:after="120"/>
        <w:rPr>
          <w:sz w:val="20"/>
        </w:rPr>
      </w:pPr>
    </w:p>
    <w:p w:rsidR="00D70E67" w:rsidRDefault="00C06BA2">
      <w:pPr>
        <w:widowControl w:val="0"/>
        <w:spacing w:before="120" w:after="120"/>
        <w:rPr>
          <w:b/>
          <w:i/>
          <w:sz w:val="20"/>
          <w:u w:val="single"/>
        </w:rPr>
      </w:pPr>
      <w:r>
        <w:rPr>
          <w:rFonts w:hint="eastAsia"/>
          <w:b/>
          <w:i/>
          <w:sz w:val="20"/>
          <w:u w:val="single"/>
        </w:rPr>
        <w:t>IAB-MT Tx timing for case-6 timing</w:t>
      </w:r>
    </w:p>
    <w:p w:rsidR="00D70E67" w:rsidRDefault="00C06BA2">
      <w:pPr>
        <w:spacing w:before="120" w:after="120"/>
        <w:rPr>
          <w:sz w:val="20"/>
        </w:rPr>
      </w:pPr>
      <w:r>
        <w:rPr>
          <w:rFonts w:hint="eastAsia"/>
          <w:sz w:val="20"/>
        </w:rPr>
        <w:t xml:space="preserve">For case-6 timing, </w:t>
      </w:r>
      <w:r>
        <w:rPr>
          <w:rFonts w:hint="eastAsia"/>
          <w:sz w:val="20"/>
        </w:rPr>
        <w:t xml:space="preserve">two goals should be ensured, one is to </w:t>
      </w:r>
      <w:r>
        <w:rPr>
          <w:rFonts w:hint="eastAsia"/>
          <w:sz w:val="20"/>
        </w:rPr>
        <w:t>obtain</w:t>
      </w:r>
      <w:r>
        <w:rPr>
          <w:rFonts w:hint="eastAsia"/>
          <w:sz w:val="20"/>
        </w:rPr>
        <w:t xml:space="preserve"> the UL-Tx</w:t>
      </w:r>
      <w:r>
        <w:rPr>
          <w:rFonts w:hint="eastAsia"/>
          <w:sz w:val="20"/>
        </w:rPr>
        <w:t xml:space="preserve"> timing</w:t>
      </w:r>
      <w:r>
        <w:rPr>
          <w:rFonts w:hint="eastAsia"/>
          <w:sz w:val="20"/>
        </w:rPr>
        <w:t xml:space="preserve"> </w:t>
      </w:r>
      <w:r>
        <w:rPr>
          <w:rFonts w:hint="eastAsia"/>
          <w:sz w:val="20"/>
        </w:rPr>
        <w:t xml:space="preserve">of the IAB node. Another is, as the definition of case 6 timing, to align the </w:t>
      </w:r>
      <w:r>
        <w:rPr>
          <w:rFonts w:hint="eastAsia"/>
          <w:sz w:val="20"/>
        </w:rPr>
        <w:t xml:space="preserve">UL-Tx timing to the DL-Tx timing. For alt1, it tends </w:t>
      </w:r>
      <w:r>
        <w:rPr>
          <w:rFonts w:hint="eastAsia"/>
          <w:sz w:val="20"/>
        </w:rPr>
        <w:t xml:space="preserve">to </w:t>
      </w:r>
      <w:r>
        <w:rPr>
          <w:rFonts w:hint="eastAsia"/>
          <w:sz w:val="20"/>
        </w:rPr>
        <w:t>obtain</w:t>
      </w:r>
      <w:r>
        <w:rPr>
          <w:rFonts w:hint="eastAsia"/>
          <w:sz w:val="20"/>
        </w:rPr>
        <w:t xml:space="preserve"> the UL-Tx timing</w:t>
      </w:r>
      <w:r>
        <w:rPr>
          <w:rFonts w:hint="eastAsia"/>
          <w:sz w:val="20"/>
        </w:rPr>
        <w:t xml:space="preserve"> </w:t>
      </w:r>
      <w:r>
        <w:rPr>
          <w:rFonts w:hint="eastAsia"/>
          <w:sz w:val="20"/>
        </w:rPr>
        <w:t xml:space="preserve">of the IAB node </w:t>
      </w:r>
      <w:r>
        <w:rPr>
          <w:rFonts w:hint="eastAsia"/>
          <w:sz w:val="20"/>
        </w:rPr>
        <w:t xml:space="preserve">via the legacy TA loop </w:t>
      </w:r>
      <w:r>
        <w:rPr>
          <w:rFonts w:hint="eastAsia"/>
          <w:sz w:val="20"/>
        </w:rPr>
        <w:t>(i.e., t</w:t>
      </w:r>
      <w:r>
        <w:rPr>
          <w:rFonts w:hint="eastAsia"/>
          <w:sz w:val="20"/>
        </w:rPr>
        <w:t xml:space="preserve">he TA of </w:t>
      </w:r>
      <w:r>
        <w:rPr>
          <w:rFonts w:hint="eastAsia"/>
          <w:sz w:val="20"/>
        </w:rPr>
        <w:t>TDM</w:t>
      </w:r>
      <w:r>
        <w:rPr>
          <w:rFonts w:hint="eastAsia"/>
          <w:sz w:val="20"/>
        </w:rPr>
        <w:t>ed case-1 timing</w:t>
      </w:r>
      <w:r>
        <w:rPr>
          <w:rFonts w:hint="eastAsia"/>
          <w:sz w:val="20"/>
        </w:rPr>
        <w:t>)</w:t>
      </w:r>
      <w:r>
        <w:rPr>
          <w:rFonts w:hint="eastAsia"/>
          <w:sz w:val="20"/>
        </w:rPr>
        <w:t xml:space="preserve"> plus an offset</w:t>
      </w:r>
      <w:r>
        <w:rPr>
          <w:rFonts w:hint="eastAsia"/>
          <w:sz w:val="20"/>
        </w:rPr>
        <w:t xml:space="preserve"> from the parent node</w:t>
      </w:r>
      <w:r>
        <w:rPr>
          <w:rFonts w:hint="eastAsia"/>
          <w:sz w:val="20"/>
        </w:rPr>
        <w:t>, and a remaining issue is how to ensure that UL-Tx timing is aligned to DL-Tx timing. However, because the accuracy of TA mechanism largely depends on the implementation of IAB-MT, the ultimate goal of case 6 timing cannot be well gua</w:t>
      </w:r>
      <w:r>
        <w:rPr>
          <w:rFonts w:hint="eastAsia"/>
          <w:sz w:val="20"/>
        </w:rPr>
        <w:t>ranteed if alt1 were used. On the other hand, note that the offset is essentially different from T_delta. T_delta represents 1/2 of the deviation Tg between UL-Rx timing and DL-Tx timing of parent node, i.e., T_delta=-Tg/2. However, in addition to the Tg c</w:t>
      </w:r>
      <w:r>
        <w:rPr>
          <w:rFonts w:hint="eastAsia"/>
          <w:sz w:val="20"/>
        </w:rPr>
        <w:t>omponent, the offset also includes one trip Tp between parent node and IAB-node, i.e., offset=-(Tg+Tp). In other words, parent node needs to maintain the calculation of one trip Tp in order to obtain the offset, which will increase the complexity of the pa</w:t>
      </w:r>
      <w:r>
        <w:rPr>
          <w:rFonts w:hint="eastAsia"/>
          <w:sz w:val="20"/>
        </w:rPr>
        <w:t>rent node, the offset itself takes more signaling overhead, and the standard also needs to define the granularity and range of the offset. Similarly, alt3 also has the above disadvantages due to common offset.</w:t>
      </w:r>
    </w:p>
    <w:p w:rsidR="00D70E67" w:rsidRDefault="00C06BA2">
      <w:pPr>
        <w:spacing w:before="120" w:after="120"/>
        <w:rPr>
          <w:sz w:val="20"/>
        </w:rPr>
      </w:pPr>
      <w:r>
        <w:rPr>
          <w:rFonts w:hint="eastAsia"/>
          <w:sz w:val="20"/>
        </w:rPr>
        <w:t>O</w:t>
      </w:r>
      <w:r>
        <w:rPr>
          <w:rFonts w:hint="eastAsia"/>
          <w:sz w:val="20"/>
        </w:rPr>
        <w:t>n the contrary, alt2 aligns UL</w:t>
      </w:r>
      <w:r>
        <w:rPr>
          <w:rFonts w:hint="eastAsia"/>
          <w:sz w:val="20"/>
        </w:rPr>
        <w:t>-</w:t>
      </w:r>
      <w:r>
        <w:rPr>
          <w:rFonts w:hint="eastAsia"/>
          <w:sz w:val="20"/>
        </w:rPr>
        <w:t>T</w:t>
      </w:r>
      <w:r>
        <w:rPr>
          <w:rFonts w:hint="eastAsia"/>
          <w:sz w:val="20"/>
        </w:rPr>
        <w:t>x</w:t>
      </w:r>
      <w:r>
        <w:rPr>
          <w:rFonts w:hint="eastAsia"/>
          <w:sz w:val="20"/>
        </w:rPr>
        <w:t xml:space="preserve"> timing to D</w:t>
      </w:r>
      <w:r>
        <w:rPr>
          <w:rFonts w:hint="eastAsia"/>
          <w:sz w:val="20"/>
        </w:rPr>
        <w:t>L</w:t>
      </w:r>
      <w:r>
        <w:rPr>
          <w:rFonts w:hint="eastAsia"/>
          <w:sz w:val="20"/>
        </w:rPr>
        <w:t>-</w:t>
      </w:r>
      <w:r>
        <w:rPr>
          <w:rFonts w:hint="eastAsia"/>
          <w:sz w:val="20"/>
        </w:rPr>
        <w:t>T</w:t>
      </w:r>
      <w:r>
        <w:rPr>
          <w:rFonts w:hint="eastAsia"/>
          <w:sz w:val="20"/>
        </w:rPr>
        <w:t>x</w:t>
      </w:r>
      <w:r>
        <w:rPr>
          <w:rFonts w:hint="eastAsia"/>
          <w:sz w:val="20"/>
        </w:rPr>
        <w:t xml:space="preserve"> timing in a more direct way</w:t>
      </w:r>
      <w:r>
        <w:rPr>
          <w:rFonts w:hint="eastAsia"/>
          <w:sz w:val="20"/>
        </w:rPr>
        <w:t xml:space="preserve"> without less/no normative work</w:t>
      </w:r>
      <w:r>
        <w:rPr>
          <w:rFonts w:hint="eastAsia"/>
          <w:sz w:val="20"/>
        </w:rPr>
        <w:t>.</w:t>
      </w:r>
    </w:p>
    <w:p w:rsidR="00D70E67" w:rsidRDefault="00C06BA2">
      <w:pPr>
        <w:pStyle w:val="YJ-Proposal"/>
        <w:widowControl w:val="0"/>
        <w:spacing w:before="120" w:after="120"/>
        <w:rPr>
          <w:rFonts w:cs="Times"/>
          <w:b w:val="0"/>
          <w:bCs w:val="0"/>
          <w:i w:val="0"/>
          <w:iCs w:val="0"/>
          <w:lang w:val="en-US" w:eastAsia="zh-CN"/>
        </w:rPr>
      </w:pPr>
      <w:bookmarkStart w:id="0" w:name="_Toc16695"/>
      <w:bookmarkStart w:id="1" w:name="_Toc30230"/>
      <w:bookmarkStart w:id="2" w:name="_Toc79225779"/>
      <w:r>
        <w:rPr>
          <w:rFonts w:cs="Times" w:hint="eastAsia"/>
          <w:lang w:val="en-US" w:eastAsia="zh-CN"/>
        </w:rPr>
        <w:t xml:space="preserve">IAB-MT Tx timing of case-6 timing is directly set </w:t>
      </w:r>
      <w:r>
        <w:rPr>
          <w:rFonts w:cs="Times" w:hint="eastAsia"/>
          <w:lang w:val="en-US" w:eastAsia="zh-CN"/>
        </w:rPr>
        <w:t xml:space="preserve">to </w:t>
      </w:r>
      <w:r>
        <w:rPr>
          <w:rFonts w:cs="Times" w:hint="eastAsia"/>
          <w:lang w:val="en-US" w:eastAsia="zh-CN"/>
        </w:rPr>
        <w:t xml:space="preserve">the IAB-DU Tx timing </w:t>
      </w:r>
      <w:r>
        <w:rPr>
          <w:rFonts w:cs="Times" w:hint="eastAsia"/>
          <w:lang w:val="en-US" w:eastAsia="zh-CN"/>
        </w:rPr>
        <w:t>(Alt 2)</w:t>
      </w:r>
      <w:r>
        <w:rPr>
          <w:rFonts w:cs="Times" w:hint="eastAsia"/>
          <w:lang w:val="en-US" w:eastAsia="zh-CN"/>
        </w:rPr>
        <w:t>.</w:t>
      </w:r>
      <w:bookmarkEnd w:id="0"/>
      <w:bookmarkEnd w:id="1"/>
      <w:bookmarkEnd w:id="2"/>
    </w:p>
    <w:p w:rsidR="00D70E67" w:rsidRDefault="00C06BA2">
      <w:pPr>
        <w:widowControl w:val="0"/>
        <w:spacing w:before="120" w:after="120"/>
        <w:rPr>
          <w:b/>
          <w:i/>
          <w:sz w:val="20"/>
          <w:u w:val="single"/>
        </w:rPr>
      </w:pPr>
      <w:r>
        <w:rPr>
          <w:rFonts w:hint="eastAsia"/>
          <w:b/>
          <w:i/>
          <w:sz w:val="20"/>
          <w:u w:val="single"/>
        </w:rPr>
        <w:t>IAB-MT Tx timing for case-7 timing</w:t>
      </w:r>
    </w:p>
    <w:p w:rsidR="00D70E67" w:rsidRDefault="00C06BA2">
      <w:pPr>
        <w:spacing w:before="120" w:after="120"/>
      </w:pPr>
      <w:r>
        <w:rPr>
          <w:rFonts w:hint="eastAsia"/>
        </w:rPr>
        <w:t xml:space="preserve">For alt1 of case-7 timing, it has the following disadvantages, e.g., the complexity of parent node to maintain one more offset calculation. Offset information also costs more signalling overhead. The standard has to define the granularity and range of the </w:t>
      </w:r>
      <w:r>
        <w:rPr>
          <w:rFonts w:hint="eastAsia"/>
        </w:rPr>
        <w:t xml:space="preserve">offset. Alt3 requires two sets of TA loops, more signalling overhead of the 2nd TA loop than alt 1 is required. For alt2, </w:t>
      </w:r>
      <w:r>
        <w:rPr>
          <w:bCs/>
          <w:color w:val="000000"/>
          <w:sz w:val="20"/>
        </w:rPr>
        <w:t>the IAB-MT Tx timing of the node is obtained via the legacy TA loop</w:t>
      </w:r>
      <w:r>
        <w:rPr>
          <w:rFonts w:hint="eastAsia"/>
          <w:bCs/>
          <w:color w:val="000000"/>
          <w:sz w:val="20"/>
        </w:rPr>
        <w:t xml:space="preserve"> without new signalling and specification effort, </w:t>
      </w:r>
      <w:r>
        <w:rPr>
          <w:rFonts w:hint="eastAsia"/>
        </w:rPr>
        <w:t>e.g., symbol leve</w:t>
      </w:r>
      <w:r>
        <w:rPr>
          <w:rFonts w:hint="eastAsia"/>
        </w:rPr>
        <w:t>l alignment for case-7 timing can be achieved via legacy TA loop. Considering the disadvantages of alt1 and alt3 above, we tend to support alt2.</w:t>
      </w:r>
    </w:p>
    <w:p w:rsidR="00D70E67" w:rsidRDefault="00C06BA2">
      <w:pPr>
        <w:pStyle w:val="YJ-Proposal"/>
        <w:widowControl w:val="0"/>
        <w:spacing w:before="120" w:after="120"/>
        <w:rPr>
          <w:rFonts w:cs="Times"/>
          <w:lang w:val="en-US" w:eastAsia="zh-CN"/>
        </w:rPr>
      </w:pPr>
      <w:bookmarkStart w:id="3" w:name="_Toc20527"/>
      <w:bookmarkStart w:id="4" w:name="_Toc31451"/>
      <w:bookmarkStart w:id="5" w:name="_Toc79225780"/>
      <w:r>
        <w:rPr>
          <w:rFonts w:cs="Times" w:hint="eastAsia"/>
          <w:lang w:val="en-US" w:eastAsia="zh-CN"/>
        </w:rPr>
        <w:t xml:space="preserve">IAB-MT Tx timing of case-7 timing can be based on the legacy TA loop </w:t>
      </w:r>
      <w:r>
        <w:rPr>
          <w:rFonts w:cs="Times" w:hint="eastAsia"/>
          <w:lang w:val="en-US" w:eastAsia="zh-CN"/>
        </w:rPr>
        <w:t>(Alt 2)</w:t>
      </w:r>
      <w:r>
        <w:rPr>
          <w:rFonts w:cs="Times" w:hint="eastAsia"/>
          <w:lang w:val="en-US" w:eastAsia="zh-CN"/>
        </w:rPr>
        <w:t>.</w:t>
      </w:r>
      <w:bookmarkEnd w:id="3"/>
      <w:bookmarkEnd w:id="4"/>
      <w:bookmarkEnd w:id="5"/>
    </w:p>
    <w:p w:rsidR="00D70E67" w:rsidRDefault="00C06BA2">
      <w:pPr>
        <w:widowControl w:val="0"/>
        <w:spacing w:before="120" w:after="120"/>
        <w:rPr>
          <w:b/>
          <w:i/>
          <w:sz w:val="20"/>
          <w:u w:val="single"/>
        </w:rPr>
      </w:pPr>
      <w:r>
        <w:rPr>
          <w:rFonts w:hint="eastAsia"/>
          <w:b/>
          <w:i/>
          <w:sz w:val="20"/>
          <w:u w:val="single"/>
        </w:rPr>
        <w:t>Switching between timing mode</w:t>
      </w:r>
    </w:p>
    <w:p w:rsidR="00D70E67" w:rsidRDefault="00C06BA2">
      <w:pPr>
        <w:widowControl w:val="0"/>
        <w:spacing w:before="120" w:after="120"/>
      </w:pPr>
      <w:r>
        <w:rPr>
          <w:rFonts w:hint="eastAsia"/>
          <w:iCs/>
          <w:sz w:val="20"/>
        </w:rPr>
        <w:t>Rega</w:t>
      </w:r>
      <w:r>
        <w:rPr>
          <w:rFonts w:hint="eastAsia"/>
          <w:iCs/>
          <w:sz w:val="20"/>
        </w:rPr>
        <w:t>rding switching between timing mode</w:t>
      </w:r>
      <w:r>
        <w:rPr>
          <w:iCs/>
          <w:sz w:val="20"/>
        </w:rPr>
        <w:t>s</w:t>
      </w:r>
      <w:r>
        <w:rPr>
          <w:rFonts w:hint="eastAsia"/>
          <w:iCs/>
          <w:sz w:val="20"/>
        </w:rPr>
        <w:t>, whether it is dynamic or semi-static switching should be clarified. If timing mode is associated with multiplexing mode, considering that dynamic UFD and DFU resource configuration have been supported in IAB to support</w:t>
      </w:r>
      <w:r>
        <w:rPr>
          <w:rFonts w:hint="eastAsia"/>
          <w:iCs/>
          <w:sz w:val="20"/>
        </w:rPr>
        <w:t xml:space="preserve"> potential simultaneous operation, timing mode </w:t>
      </w:r>
      <w:r>
        <w:rPr>
          <w:rFonts w:hint="eastAsia"/>
          <w:iCs/>
          <w:sz w:val="20"/>
        </w:rPr>
        <w:t xml:space="preserve">can </w:t>
      </w:r>
      <w:r>
        <w:rPr>
          <w:rFonts w:hint="eastAsia"/>
          <w:iCs/>
          <w:sz w:val="20"/>
        </w:rPr>
        <w:t xml:space="preserve">be switched dynamically according to the actual use of dynamic UFD or DFU. If timing mode and multiplexing mode are not bound together, the switching should be </w:t>
      </w:r>
      <w:r>
        <w:rPr>
          <w:rFonts w:hint="eastAsia"/>
          <w:iCs/>
          <w:sz w:val="20"/>
        </w:rPr>
        <w:t xml:space="preserve">informed by </w:t>
      </w:r>
      <w:r>
        <w:rPr>
          <w:rFonts w:hint="eastAsia"/>
          <w:iCs/>
          <w:sz w:val="20"/>
        </w:rPr>
        <w:t>the parent. In order to enable fl</w:t>
      </w:r>
      <w:r>
        <w:rPr>
          <w:rFonts w:hint="eastAsia"/>
          <w:iCs/>
          <w:sz w:val="20"/>
        </w:rPr>
        <w:t>exible switching between timing modes, we prefer to switch timing mode in a dynamic way, e.g</w:t>
      </w:r>
      <w:r>
        <w:rPr>
          <w:iCs/>
          <w:sz w:val="20"/>
        </w:rPr>
        <w:t>.</w:t>
      </w:r>
      <w:r>
        <w:rPr>
          <w:rFonts w:hint="eastAsia"/>
          <w:iCs/>
          <w:sz w:val="20"/>
        </w:rPr>
        <w:t>,</w:t>
      </w:r>
      <w:r>
        <w:rPr>
          <w:iCs/>
          <w:sz w:val="20"/>
        </w:rPr>
        <w:t xml:space="preserve"> </w:t>
      </w:r>
      <w:r>
        <w:rPr>
          <w:rFonts w:hint="eastAsia"/>
          <w:iCs/>
          <w:sz w:val="20"/>
        </w:rPr>
        <w:t>to indicate the information for switching together with resource allocation information</w:t>
      </w:r>
      <w:r>
        <w:rPr>
          <w:rFonts w:hint="eastAsia"/>
          <w:iCs/>
          <w:sz w:val="20"/>
        </w:rPr>
        <w:t xml:space="preserve"> via DCI</w:t>
      </w:r>
      <w:r>
        <w:rPr>
          <w:rFonts w:hint="eastAsia"/>
          <w:iCs/>
          <w:sz w:val="20"/>
        </w:rPr>
        <w:t>.</w:t>
      </w:r>
    </w:p>
    <w:p w:rsidR="00D70E67" w:rsidRDefault="00C06BA2">
      <w:pPr>
        <w:pStyle w:val="YJ-Proposal"/>
        <w:widowControl w:val="0"/>
        <w:spacing w:before="120" w:after="120"/>
        <w:rPr>
          <w:rFonts w:cs="Times"/>
          <w:lang w:val="en-US" w:eastAsia="zh-CN"/>
        </w:rPr>
      </w:pPr>
      <w:bookmarkStart w:id="6" w:name="_Toc31167"/>
      <w:bookmarkStart w:id="7" w:name="_Toc31075"/>
      <w:bookmarkStart w:id="8" w:name="_Toc79225781"/>
      <w:r>
        <w:rPr>
          <w:rFonts w:cs="Times" w:hint="eastAsia"/>
          <w:lang w:val="en-US" w:eastAsia="zh-CN"/>
        </w:rPr>
        <w:t>Dynamic</w:t>
      </w:r>
      <w:r>
        <w:rPr>
          <w:rFonts w:cs="Times" w:hint="eastAsia"/>
          <w:lang w:val="en-US" w:eastAsia="zh-CN"/>
        </w:rPr>
        <w:t xml:space="preserve"> switching between timing mode</w:t>
      </w:r>
      <w:r>
        <w:rPr>
          <w:rFonts w:cs="Times" w:hint="eastAsia"/>
          <w:lang w:val="en-US" w:eastAsia="zh-CN"/>
        </w:rPr>
        <w:t>s</w:t>
      </w:r>
      <w:r>
        <w:rPr>
          <w:rFonts w:cs="Times" w:hint="eastAsia"/>
          <w:lang w:val="en-US" w:eastAsia="zh-CN"/>
        </w:rPr>
        <w:t xml:space="preserve"> </w:t>
      </w:r>
      <w:r>
        <w:rPr>
          <w:rFonts w:cs="Times" w:hint="eastAsia"/>
          <w:lang w:val="en-US" w:eastAsia="zh-CN"/>
        </w:rPr>
        <w:t>should be supported</w:t>
      </w:r>
      <w:r>
        <w:rPr>
          <w:rFonts w:cs="Times" w:hint="eastAsia"/>
          <w:lang w:val="en-US" w:eastAsia="zh-CN"/>
        </w:rPr>
        <w:t>, e.g.</w:t>
      </w:r>
      <w:r>
        <w:rPr>
          <w:rFonts w:cs="Times" w:hint="eastAsia"/>
          <w:lang w:val="en-US" w:eastAsia="zh-CN"/>
        </w:rPr>
        <w:t xml:space="preserve">, to indicate the information for switching via </w:t>
      </w:r>
      <w:r>
        <w:rPr>
          <w:rFonts w:cs="Times" w:hint="eastAsia"/>
          <w:lang w:val="en-US" w:eastAsia="zh-CN"/>
        </w:rPr>
        <w:t xml:space="preserve">resource scheduling </w:t>
      </w:r>
      <w:r>
        <w:rPr>
          <w:rFonts w:cs="Times" w:hint="eastAsia"/>
          <w:lang w:val="en-US" w:eastAsia="zh-CN"/>
        </w:rPr>
        <w:t>DCI.</w:t>
      </w:r>
      <w:bookmarkEnd w:id="6"/>
      <w:bookmarkEnd w:id="7"/>
      <w:bookmarkEnd w:id="8"/>
    </w:p>
    <w:p w:rsidR="00D70E67" w:rsidRDefault="00C06BA2">
      <w:pPr>
        <w:widowControl w:val="0"/>
        <w:spacing w:before="120" w:after="120"/>
        <w:rPr>
          <w:b/>
          <w:i/>
          <w:sz w:val="20"/>
          <w:u w:val="single"/>
        </w:rPr>
      </w:pPr>
      <w:r>
        <w:rPr>
          <w:rFonts w:hint="eastAsia"/>
          <w:b/>
          <w:i/>
          <w:sz w:val="20"/>
          <w:u w:val="single"/>
        </w:rPr>
        <w:t>Indication for timing mode</w:t>
      </w:r>
    </w:p>
    <w:p w:rsidR="00D70E67" w:rsidRDefault="00C06BA2">
      <w:pPr>
        <w:widowControl w:val="0"/>
        <w:spacing w:before="120" w:after="120"/>
        <w:rPr>
          <w:iCs/>
          <w:sz w:val="20"/>
        </w:rPr>
      </w:pPr>
      <w:r>
        <w:rPr>
          <w:rFonts w:hint="eastAsia"/>
          <w:iCs/>
          <w:sz w:val="20"/>
        </w:rPr>
        <w:t xml:space="preserve">Regarding the </w:t>
      </w:r>
      <w:r>
        <w:rPr>
          <w:rFonts w:hint="eastAsia"/>
          <w:iCs/>
          <w:sz w:val="20"/>
        </w:rPr>
        <w:t xml:space="preserve">FFS whether an IAB-node is also indicated when </w:t>
      </w:r>
      <w:r>
        <w:rPr>
          <w:rFonts w:hint="eastAsia"/>
          <w:iCs/>
          <w:sz w:val="20"/>
        </w:rPr>
        <w:t>c</w:t>
      </w:r>
      <w:r>
        <w:rPr>
          <w:rFonts w:hint="eastAsia"/>
          <w:iCs/>
          <w:sz w:val="20"/>
        </w:rPr>
        <w:t>ase</w:t>
      </w:r>
      <w:r>
        <w:rPr>
          <w:rFonts w:hint="eastAsia"/>
          <w:iCs/>
          <w:sz w:val="20"/>
        </w:rPr>
        <w:t>-</w:t>
      </w:r>
      <w:r>
        <w:rPr>
          <w:rFonts w:hint="eastAsia"/>
          <w:iCs/>
          <w:sz w:val="20"/>
        </w:rPr>
        <w:t>7 timing is performed at the IAB-node.</w:t>
      </w:r>
      <w:r>
        <w:rPr>
          <w:rFonts w:hint="eastAsia"/>
          <w:iCs/>
          <w:sz w:val="20"/>
        </w:rPr>
        <w:t xml:space="preserve"> </w:t>
      </w:r>
      <w:r>
        <w:rPr>
          <w:rFonts w:hint="eastAsia"/>
          <w:sz w:val="20"/>
        </w:rPr>
        <w:t>W</w:t>
      </w:r>
      <w:r>
        <w:rPr>
          <w:rFonts w:hint="eastAsia"/>
          <w:sz w:val="20"/>
        </w:rPr>
        <w:t xml:space="preserve">e </w:t>
      </w:r>
      <w:r>
        <w:rPr>
          <w:rFonts w:hint="eastAsia"/>
          <w:sz w:val="20"/>
        </w:rPr>
        <w:t>think that</w:t>
      </w:r>
      <w:r>
        <w:rPr>
          <w:rFonts w:hint="eastAsia"/>
          <w:sz w:val="20"/>
        </w:rPr>
        <w:t xml:space="preserve"> </w:t>
      </w:r>
      <w:r>
        <w:rPr>
          <w:rFonts w:hint="eastAsia"/>
          <w:sz w:val="20"/>
        </w:rPr>
        <w:t>t</w:t>
      </w:r>
      <w:r>
        <w:rPr>
          <w:rFonts w:hint="eastAsia"/>
          <w:sz w:val="20"/>
        </w:rPr>
        <w:t xml:space="preserve">iming mode is one of the preconditions for simultaneous operation, and it is also the accurate behavior of IAB-node. </w:t>
      </w:r>
      <w:r>
        <w:rPr>
          <w:rFonts w:hint="eastAsia"/>
          <w:sz w:val="20"/>
        </w:rPr>
        <w:t>In other words,</w:t>
      </w:r>
      <w:r>
        <w:rPr>
          <w:rFonts w:hint="eastAsia"/>
          <w:sz w:val="20"/>
        </w:rPr>
        <w:t xml:space="preserve"> the switching between timing mode</w:t>
      </w:r>
      <w:r>
        <w:rPr>
          <w:sz w:val="20"/>
        </w:rPr>
        <w:t>s</w:t>
      </w:r>
      <w:r>
        <w:rPr>
          <w:rFonts w:hint="eastAsia"/>
          <w:sz w:val="20"/>
        </w:rPr>
        <w:t xml:space="preserve"> cannot be left to the IAB-node implementation, </w:t>
      </w:r>
      <w:r>
        <w:rPr>
          <w:rFonts w:hint="eastAsia"/>
          <w:sz w:val="20"/>
        </w:rPr>
        <w:t>instead,</w:t>
      </w:r>
      <w:r>
        <w:rPr>
          <w:rFonts w:hint="eastAsia"/>
          <w:sz w:val="20"/>
        </w:rPr>
        <w:t xml:space="preserve"> it is better to let the parent </w:t>
      </w:r>
      <w:r>
        <w:rPr>
          <w:rFonts w:hint="eastAsia"/>
          <w:sz w:val="20"/>
        </w:rPr>
        <w:t xml:space="preserve">node to control the timing mode switching at the IAB node, and </w:t>
      </w:r>
      <w:r>
        <w:rPr>
          <w:rFonts w:hint="eastAsia"/>
          <w:sz w:val="20"/>
        </w:rPr>
        <w:t>the specific switching event can be left to the parent node implementation</w:t>
      </w:r>
      <w:r>
        <w:rPr>
          <w:rFonts w:hint="eastAsia"/>
          <w:sz w:val="20"/>
        </w:rPr>
        <w:t>.</w:t>
      </w:r>
      <w:r>
        <w:rPr>
          <w:rFonts w:hint="eastAsia"/>
          <w:sz w:val="20"/>
        </w:rPr>
        <w:t xml:space="preserve"> </w:t>
      </w:r>
      <w:r>
        <w:rPr>
          <w:rFonts w:hint="eastAsia"/>
          <w:sz w:val="20"/>
        </w:rPr>
        <w:t>T</w:t>
      </w:r>
      <w:r>
        <w:rPr>
          <w:rFonts w:hint="eastAsia"/>
          <w:sz w:val="20"/>
        </w:rPr>
        <w:t>he timing mode needs to play a role in clarifying the IAB-node behavior.</w:t>
      </w:r>
      <w:r>
        <w:rPr>
          <w:rFonts w:hint="eastAsia"/>
          <w:iCs/>
          <w:sz w:val="20"/>
        </w:rPr>
        <w:t xml:space="preserve"> </w:t>
      </w:r>
      <w:r>
        <w:rPr>
          <w:rFonts w:hint="eastAsia"/>
          <w:iCs/>
          <w:sz w:val="20"/>
        </w:rPr>
        <w:t>For example, a prerequisite for case-7 timi</w:t>
      </w:r>
      <w:r>
        <w:rPr>
          <w:rFonts w:hint="eastAsia"/>
          <w:iCs/>
          <w:sz w:val="20"/>
        </w:rPr>
        <w:t>ng to operate is the received power balance on the IAB-node side. If the parent node indicates the usage of case-7 timing at the IAB-node, it also implies that the parent node would meet the desired downlink transmission power for case 7 timing. Another</w:t>
      </w:r>
      <w:r>
        <w:rPr>
          <w:rFonts w:hint="eastAsia"/>
          <w:iCs/>
          <w:sz w:val="20"/>
        </w:rPr>
        <w:t xml:space="preserve"> ex</w:t>
      </w:r>
      <w:r>
        <w:rPr>
          <w:rFonts w:hint="eastAsia"/>
          <w:iCs/>
          <w:sz w:val="20"/>
        </w:rPr>
        <w:t xml:space="preserve">ample, case-1 timing in </w:t>
      </w:r>
      <w:r>
        <w:rPr>
          <w:rFonts w:hint="eastAsia"/>
          <w:iCs/>
          <w:sz w:val="20"/>
        </w:rPr>
        <w:t>R</w:t>
      </w:r>
      <w:r>
        <w:rPr>
          <w:rFonts w:hint="eastAsia"/>
          <w:iCs/>
          <w:sz w:val="20"/>
        </w:rPr>
        <w:t xml:space="preserve">el-16 is also forward compatible with simultaneous Tx or Rx in some soft symbols. In order to better manage the CLI problems caused by case-7 timing and distinguish the simultaneous Rx of case-1 timing or case-7 timing, the parent </w:t>
      </w:r>
      <w:r>
        <w:rPr>
          <w:rFonts w:hint="eastAsia"/>
          <w:iCs/>
          <w:sz w:val="20"/>
        </w:rPr>
        <w:t xml:space="preserve">node needs to indicate the timing mode of IAB-node. </w:t>
      </w:r>
      <w:r>
        <w:rPr>
          <w:rFonts w:hint="eastAsia"/>
          <w:iCs/>
          <w:sz w:val="20"/>
        </w:rPr>
        <w:t xml:space="preserve">As discussed above, </w:t>
      </w:r>
      <w:r>
        <w:rPr>
          <w:rFonts w:hint="eastAsia"/>
          <w:iCs/>
          <w:sz w:val="20"/>
        </w:rPr>
        <w:t>case-7 timing cannot be simply left to IAB-node</w:t>
      </w:r>
      <w:r>
        <w:rPr>
          <w:rFonts w:hint="eastAsia"/>
          <w:iCs/>
          <w:sz w:val="20"/>
        </w:rPr>
        <w:t>'s</w:t>
      </w:r>
      <w:r>
        <w:rPr>
          <w:rFonts w:hint="eastAsia"/>
          <w:iCs/>
          <w:sz w:val="20"/>
        </w:rPr>
        <w:t xml:space="preserve"> implementation, and the indication or switching of timing mode</w:t>
      </w:r>
      <w:r>
        <w:rPr>
          <w:rFonts w:hint="eastAsia"/>
          <w:iCs/>
          <w:sz w:val="20"/>
        </w:rPr>
        <w:t>s</w:t>
      </w:r>
      <w:r>
        <w:rPr>
          <w:rFonts w:hint="eastAsia"/>
          <w:iCs/>
          <w:sz w:val="20"/>
        </w:rPr>
        <w:t xml:space="preserve"> needs to be dominated by parent node.</w:t>
      </w:r>
    </w:p>
    <w:p w:rsidR="00D70E67" w:rsidRDefault="00C06BA2">
      <w:pPr>
        <w:pStyle w:val="YJ-Proposal"/>
        <w:spacing w:before="120" w:after="120"/>
        <w:rPr>
          <w:rFonts w:cs="Times"/>
          <w:lang w:val="en-US" w:eastAsia="zh-CN"/>
        </w:rPr>
      </w:pPr>
      <w:bookmarkStart w:id="9" w:name="_Toc19490"/>
      <w:bookmarkStart w:id="10" w:name="_Toc13608"/>
      <w:bookmarkStart w:id="11" w:name="_Toc79225782"/>
      <w:r>
        <w:rPr>
          <w:rFonts w:cs="Times" w:hint="eastAsia"/>
          <w:lang w:val="en-US" w:eastAsia="zh-CN"/>
        </w:rPr>
        <w:t xml:space="preserve">An IAB-node is indicated by the </w:t>
      </w:r>
      <w:r>
        <w:rPr>
          <w:rFonts w:cs="Times" w:hint="eastAsia"/>
          <w:lang w:val="en-US" w:eastAsia="zh-CN"/>
        </w:rPr>
        <w:t xml:space="preserve">parent node </w:t>
      </w:r>
      <w:r>
        <w:rPr>
          <w:rFonts w:cs="Times" w:hint="eastAsia"/>
          <w:lang w:val="en-US" w:eastAsia="zh-CN"/>
        </w:rPr>
        <w:t>which</w:t>
      </w:r>
      <w:r>
        <w:rPr>
          <w:rFonts w:cs="Times" w:hint="eastAsia"/>
          <w:lang w:val="en-US" w:eastAsia="zh-CN"/>
        </w:rPr>
        <w:t xml:space="preserve"> timing mode </w:t>
      </w:r>
      <w:r>
        <w:rPr>
          <w:rFonts w:cs="Times" w:hint="eastAsia"/>
          <w:lang w:val="en-US" w:eastAsia="zh-CN"/>
        </w:rPr>
        <w:t>(</w:t>
      </w:r>
      <w:r>
        <w:rPr>
          <w:rFonts w:cs="Times" w:hint="eastAsia"/>
          <w:lang w:val="en-US" w:eastAsia="zh-CN"/>
        </w:rPr>
        <w:t>case-1/6/7 timing</w:t>
      </w:r>
      <w:r>
        <w:rPr>
          <w:rFonts w:cs="Times" w:hint="eastAsia"/>
          <w:lang w:val="en-US" w:eastAsia="zh-CN"/>
        </w:rPr>
        <w:t>)</w:t>
      </w:r>
      <w:r>
        <w:rPr>
          <w:rFonts w:cs="Times" w:hint="eastAsia"/>
          <w:lang w:val="en-US" w:eastAsia="zh-CN"/>
        </w:rPr>
        <w:t xml:space="preserve"> </w:t>
      </w:r>
      <w:r>
        <w:rPr>
          <w:rFonts w:cs="Times" w:hint="eastAsia"/>
          <w:lang w:val="en-US" w:eastAsia="zh-CN"/>
        </w:rPr>
        <w:t>should be</w:t>
      </w:r>
      <w:r>
        <w:rPr>
          <w:rFonts w:cs="Times" w:hint="eastAsia"/>
          <w:lang w:val="en-US" w:eastAsia="zh-CN"/>
        </w:rPr>
        <w:t xml:space="preserve"> performed at the IAB-node.</w:t>
      </w:r>
      <w:bookmarkEnd w:id="9"/>
      <w:bookmarkEnd w:id="10"/>
      <w:bookmarkEnd w:id="11"/>
    </w:p>
    <w:p w:rsidR="00D70E67" w:rsidRDefault="00C06BA2">
      <w:pPr>
        <w:pStyle w:val="2"/>
        <w:widowControl w:val="0"/>
        <w:spacing w:before="120" w:after="120"/>
        <w:ind w:right="210"/>
        <w:rPr>
          <w:rFonts w:ascii="Arial" w:hAnsi="Arial" w:cs="Arial"/>
          <w:szCs w:val="22"/>
        </w:rPr>
      </w:pPr>
      <w:r>
        <w:rPr>
          <w:rFonts w:ascii="Arial" w:hAnsi="Arial" w:cs="Arial" w:hint="eastAsia"/>
        </w:rPr>
        <w:t>2.2 Power control/sharing</w:t>
      </w:r>
      <w:r>
        <w:rPr>
          <w:rFonts w:ascii="Arial" w:hAnsi="Arial" w:cs="Arial"/>
        </w:rPr>
        <w:t xml:space="preserve"> for simultaneous </w:t>
      </w:r>
      <w:r>
        <w:rPr>
          <w:rFonts w:ascii="Arial" w:hAnsi="Arial" w:cs="Arial"/>
          <w:szCs w:val="22"/>
        </w:rPr>
        <w:t>operation</w:t>
      </w:r>
    </w:p>
    <w:p w:rsidR="00D70E67" w:rsidRDefault="00C06BA2">
      <w:pPr>
        <w:widowControl w:val="0"/>
        <w:spacing w:before="120" w:after="120"/>
        <w:rPr>
          <w:sz w:val="20"/>
        </w:rPr>
      </w:pPr>
      <w:r>
        <w:rPr>
          <w:rFonts w:hint="eastAsia"/>
          <w:sz w:val="20"/>
        </w:rPr>
        <w:t>RAN1#10</w:t>
      </w:r>
      <w:r>
        <w:rPr>
          <w:rFonts w:hint="eastAsia"/>
          <w:sz w:val="20"/>
        </w:rPr>
        <w:t>5</w:t>
      </w:r>
      <w:r>
        <w:rPr>
          <w:rFonts w:hint="eastAsia"/>
          <w:sz w:val="20"/>
        </w:rPr>
        <w:t>-e provided the following agreements</w:t>
      </w:r>
      <w:r>
        <w:rPr>
          <w:sz w:val="20"/>
        </w:rPr>
        <w:t xml:space="preserve"> </w:t>
      </w:r>
      <w:r>
        <w:rPr>
          <w:rFonts w:hint="eastAsia"/>
          <w:sz w:val="20"/>
        </w:rPr>
        <w:t>on power control/sharing for simultaneous operation [1].</w:t>
      </w:r>
    </w:p>
    <w:tbl>
      <w:tblPr>
        <w:tblStyle w:val="ae"/>
        <w:tblW w:w="0" w:type="auto"/>
        <w:tblLook w:val="04A0" w:firstRow="1" w:lastRow="0" w:firstColumn="1" w:lastColumn="0" w:noHBand="0" w:noVBand="1"/>
      </w:tblPr>
      <w:tblGrid>
        <w:gridCol w:w="9876"/>
      </w:tblGrid>
      <w:tr w:rsidR="00D70E67">
        <w:trPr>
          <w:trHeight w:val="4204"/>
        </w:trPr>
        <w:tc>
          <w:tcPr>
            <w:tcW w:w="9876" w:type="dxa"/>
          </w:tcPr>
          <w:p w:rsidR="00D70E67" w:rsidRDefault="00C06BA2">
            <w:pPr>
              <w:spacing w:before="120" w:after="120"/>
              <w:rPr>
                <w:rFonts w:cs="Times"/>
                <w:b/>
                <w:bCs/>
                <w:sz w:val="20"/>
                <w:highlight w:val="green"/>
              </w:rPr>
            </w:pPr>
            <w:r>
              <w:rPr>
                <w:rFonts w:cs="Times"/>
                <w:b/>
                <w:bCs/>
                <w:sz w:val="20"/>
                <w:highlight w:val="green"/>
              </w:rPr>
              <w:t>Agreement</w:t>
            </w:r>
          </w:p>
          <w:p w:rsidR="00D70E67" w:rsidRDefault="00C06BA2">
            <w:pPr>
              <w:spacing w:before="120" w:after="120"/>
              <w:rPr>
                <w:rFonts w:eastAsia="Calibri" w:cs="Times"/>
                <w:sz w:val="20"/>
              </w:rPr>
            </w:pPr>
            <w:r>
              <w:rPr>
                <w:rFonts w:eastAsia="Calibri" w:cs="Times"/>
                <w:sz w:val="20"/>
              </w:rPr>
              <w:t>Decide in RAN1#106-e whether to support an IAB-node indicating assistance information to help with its MT’s UL TX power control. The assistance information can be:</w:t>
            </w:r>
          </w:p>
          <w:p w:rsidR="00D70E67" w:rsidRDefault="00C06BA2">
            <w:pPr>
              <w:pStyle w:val="af4"/>
              <w:numPr>
                <w:ilvl w:val="0"/>
                <w:numId w:val="8"/>
              </w:numPr>
              <w:spacing w:after="120"/>
              <w:textAlignment w:val="baseline"/>
              <w:rPr>
                <w:rFonts w:eastAsia="MS PGothic" w:cs="Times"/>
                <w:sz w:val="20"/>
                <w:szCs w:val="20"/>
                <w:lang w:eastAsia="ja-JP"/>
              </w:rPr>
            </w:pPr>
            <w:r>
              <w:rPr>
                <w:rFonts w:cs="Times"/>
                <w:sz w:val="20"/>
                <w:szCs w:val="20"/>
              </w:rPr>
              <w:t>FFS: Desired TX power</w:t>
            </w:r>
          </w:p>
          <w:p w:rsidR="00D70E67" w:rsidRDefault="00C06BA2">
            <w:pPr>
              <w:pStyle w:val="af4"/>
              <w:numPr>
                <w:ilvl w:val="0"/>
                <w:numId w:val="8"/>
              </w:numPr>
              <w:spacing w:after="120"/>
              <w:textAlignment w:val="baseline"/>
              <w:rPr>
                <w:rFonts w:eastAsia="MS PGothic" w:cs="Times"/>
                <w:sz w:val="20"/>
                <w:szCs w:val="20"/>
                <w:lang w:eastAsia="ja-JP"/>
              </w:rPr>
            </w:pPr>
            <w:r>
              <w:rPr>
                <w:rFonts w:cs="Times"/>
                <w:sz w:val="20"/>
                <w:szCs w:val="20"/>
              </w:rPr>
              <w:t>FFS: Offset to a baseline PHR</w:t>
            </w:r>
          </w:p>
          <w:p w:rsidR="00D70E67" w:rsidRDefault="00C06BA2">
            <w:pPr>
              <w:pStyle w:val="af4"/>
              <w:numPr>
                <w:ilvl w:val="0"/>
                <w:numId w:val="8"/>
              </w:numPr>
              <w:spacing w:after="120"/>
              <w:textAlignment w:val="baseline"/>
              <w:rPr>
                <w:rFonts w:eastAsia="MS PGothic" w:cs="Times"/>
                <w:sz w:val="20"/>
                <w:szCs w:val="20"/>
                <w:lang w:eastAsia="ja-JP"/>
              </w:rPr>
            </w:pPr>
            <w:r>
              <w:rPr>
                <w:rFonts w:cs="Times"/>
                <w:sz w:val="20"/>
                <w:szCs w:val="20"/>
              </w:rPr>
              <w:t>FFS: Desired dynamic range</w:t>
            </w:r>
          </w:p>
          <w:p w:rsidR="00D70E67" w:rsidRDefault="00C06BA2">
            <w:pPr>
              <w:spacing w:before="120" w:after="120"/>
              <w:rPr>
                <w:rFonts w:cs="Times"/>
                <w:sz w:val="20"/>
              </w:rPr>
            </w:pPr>
            <w:r>
              <w:rPr>
                <w:rFonts w:cs="Times"/>
                <w:sz w:val="20"/>
              </w:rPr>
              <w:t xml:space="preserve">FFS: whether </w:t>
            </w:r>
            <w:r>
              <w:rPr>
                <w:rFonts w:cs="Times"/>
                <w:sz w:val="20"/>
              </w:rPr>
              <w:t>this information is provided to the parent-node, the CU, or both.</w:t>
            </w:r>
          </w:p>
          <w:p w:rsidR="00D70E67" w:rsidRDefault="00C06BA2">
            <w:pPr>
              <w:spacing w:before="120" w:after="120"/>
              <w:rPr>
                <w:rFonts w:eastAsia="MS PGothic" w:cs="Times"/>
                <w:sz w:val="20"/>
                <w:lang w:eastAsia="ja-JP"/>
              </w:rPr>
            </w:pPr>
            <w:r>
              <w:rPr>
                <w:rFonts w:cs="Times"/>
                <w:sz w:val="20"/>
              </w:rPr>
              <w:t xml:space="preserve">FFS: whether the MT’s UL TX power control formula needs to be changed </w:t>
            </w:r>
          </w:p>
          <w:p w:rsidR="00D70E67" w:rsidRDefault="00C06BA2">
            <w:pPr>
              <w:spacing w:before="120" w:after="120"/>
              <w:rPr>
                <w:rFonts w:cs="Times"/>
                <w:b/>
                <w:bCs/>
                <w:sz w:val="20"/>
                <w:highlight w:val="yellow"/>
              </w:rPr>
            </w:pPr>
            <w:r>
              <w:rPr>
                <w:rFonts w:cs="Times"/>
                <w:b/>
                <w:bCs/>
                <w:sz w:val="20"/>
                <w:highlight w:val="green"/>
              </w:rPr>
              <w:t>Agreement</w:t>
            </w:r>
          </w:p>
          <w:p w:rsidR="00D70E67" w:rsidRDefault="00C06BA2">
            <w:pPr>
              <w:spacing w:before="120" w:after="120"/>
              <w:rPr>
                <w:rFonts w:eastAsia="Calibri" w:cs="Times"/>
                <w:sz w:val="20"/>
              </w:rPr>
            </w:pPr>
            <w:r>
              <w:rPr>
                <w:rFonts w:eastAsia="Calibri" w:cs="Times"/>
                <w:sz w:val="20"/>
              </w:rPr>
              <w:t xml:space="preserve">The information to assist DL power allocation of the parent-node is indicated </w:t>
            </w:r>
            <w:r>
              <w:rPr>
                <w:rFonts w:eastAsia="Calibri" w:cs="Times"/>
                <w:sz w:val="20"/>
              </w:rPr>
              <w:t>by the IAB-MT to the parent nod</w:t>
            </w:r>
            <w:r>
              <w:rPr>
                <w:rFonts w:eastAsia="Calibri" w:cs="Times"/>
                <w:sz w:val="20"/>
              </w:rPr>
              <w:t xml:space="preserve">e DU </w:t>
            </w:r>
            <w:r>
              <w:rPr>
                <w:rFonts w:eastAsia="Calibri" w:cs="Times"/>
                <w:sz w:val="20"/>
              </w:rPr>
              <w:t>in terms of desired power adjustment.</w:t>
            </w:r>
          </w:p>
          <w:p w:rsidR="00D70E67" w:rsidRDefault="00C06BA2">
            <w:pPr>
              <w:pStyle w:val="af4"/>
              <w:numPr>
                <w:ilvl w:val="0"/>
                <w:numId w:val="8"/>
              </w:numPr>
              <w:spacing w:after="120"/>
              <w:textAlignment w:val="baseline"/>
              <w:rPr>
                <w:rFonts w:cs="Times"/>
                <w:sz w:val="20"/>
                <w:szCs w:val="20"/>
              </w:rPr>
            </w:pPr>
            <w:r>
              <w:rPr>
                <w:rFonts w:cs="Times"/>
                <w:sz w:val="20"/>
                <w:szCs w:val="20"/>
              </w:rPr>
              <w:t>FFS applicability of assistance information, e.g. per multiplexing scenario, per resource, etc.</w:t>
            </w:r>
          </w:p>
          <w:p w:rsidR="00D70E67" w:rsidRDefault="00D70E67">
            <w:pPr>
              <w:spacing w:before="120" w:after="120"/>
              <w:rPr>
                <w:sz w:val="20"/>
              </w:rPr>
            </w:pPr>
          </w:p>
        </w:tc>
      </w:tr>
    </w:tbl>
    <w:p w:rsidR="00D70E67" w:rsidRDefault="00C06BA2">
      <w:pPr>
        <w:widowControl w:val="0"/>
        <w:spacing w:before="120" w:after="120"/>
        <w:rPr>
          <w:sz w:val="20"/>
        </w:rPr>
      </w:pPr>
      <w:r>
        <w:rPr>
          <w:rFonts w:hint="eastAsia"/>
          <w:sz w:val="20"/>
        </w:rPr>
        <w:t>According to above agreements, for UL power control</w:t>
      </w:r>
      <w:r>
        <w:rPr>
          <w:rFonts w:hint="eastAsia"/>
          <w:sz w:val="20"/>
        </w:rPr>
        <w:t xml:space="preserve"> of</w:t>
      </w:r>
      <w:r>
        <w:rPr>
          <w:rFonts w:hint="eastAsia"/>
          <w:sz w:val="20"/>
        </w:rPr>
        <w:t xml:space="preserve"> an IAB node </w:t>
      </w:r>
      <w:r>
        <w:rPr>
          <w:rFonts w:hint="eastAsia"/>
          <w:sz w:val="20"/>
        </w:rPr>
        <w:t>MT</w:t>
      </w:r>
      <w:r>
        <w:rPr>
          <w:rFonts w:hint="eastAsia"/>
          <w:sz w:val="20"/>
        </w:rPr>
        <w:t xml:space="preserve">, RAN1 needs to further study </w:t>
      </w:r>
      <w:r>
        <w:rPr>
          <w:rFonts w:eastAsia="Calibri" w:cs="Times"/>
          <w:sz w:val="20"/>
        </w:rPr>
        <w:t xml:space="preserve">whether to </w:t>
      </w:r>
      <w:r>
        <w:rPr>
          <w:rFonts w:eastAsia="Calibri" w:cs="Times"/>
          <w:sz w:val="20"/>
        </w:rPr>
        <w:t>support an IAB-node indicating assistance information to help with its MT’s UL TX power control</w:t>
      </w:r>
      <w:r>
        <w:rPr>
          <w:rFonts w:hint="eastAsia"/>
          <w:sz w:val="20"/>
        </w:rPr>
        <w:t xml:space="preserve">. For DL power allocation </w:t>
      </w:r>
      <w:r>
        <w:rPr>
          <w:rFonts w:hint="eastAsia"/>
          <w:sz w:val="20"/>
        </w:rPr>
        <w:t>of</w:t>
      </w:r>
      <w:r>
        <w:rPr>
          <w:rFonts w:hint="eastAsia"/>
          <w:sz w:val="20"/>
        </w:rPr>
        <w:t xml:space="preserve"> </w:t>
      </w:r>
      <w:r>
        <w:rPr>
          <w:rFonts w:hint="eastAsia"/>
          <w:sz w:val="20"/>
        </w:rPr>
        <w:t xml:space="preserve">the parent node DU of </w:t>
      </w:r>
      <w:r>
        <w:rPr>
          <w:rFonts w:hint="eastAsia"/>
          <w:sz w:val="20"/>
        </w:rPr>
        <w:t xml:space="preserve">an IAB node, it is agreed that an IAB node indicates information to assist with the DL power </w:t>
      </w:r>
      <w:r>
        <w:rPr>
          <w:rFonts w:eastAsia="Calibri" w:cs="Times"/>
          <w:sz w:val="20"/>
        </w:rPr>
        <w:t xml:space="preserve">allocation </w:t>
      </w:r>
      <w:r>
        <w:rPr>
          <w:rFonts w:hint="eastAsia"/>
          <w:sz w:val="20"/>
        </w:rPr>
        <w:t>of its</w:t>
      </w:r>
      <w:r>
        <w:rPr>
          <w:rFonts w:hint="eastAsia"/>
          <w:sz w:val="20"/>
        </w:rPr>
        <w:t xml:space="preserve"> parent node, but </w:t>
      </w:r>
      <w:r>
        <w:rPr>
          <w:rFonts w:cs="Times"/>
          <w:sz w:val="20"/>
        </w:rPr>
        <w:t>applicability of assistance information, e.g. per multiplexing scenario, per resource, etc</w:t>
      </w:r>
      <w:r>
        <w:rPr>
          <w:rFonts w:cs="Times" w:hint="eastAsia"/>
          <w:sz w:val="20"/>
        </w:rPr>
        <w:t xml:space="preserve">, </w:t>
      </w:r>
      <w:r>
        <w:rPr>
          <w:rFonts w:hint="eastAsia"/>
          <w:sz w:val="20"/>
        </w:rPr>
        <w:t>needs to further study. This section provides some views on these aspects.</w:t>
      </w:r>
    </w:p>
    <w:p w:rsidR="00D70E67" w:rsidRDefault="00C06BA2">
      <w:pPr>
        <w:widowControl w:val="0"/>
        <w:spacing w:before="120" w:after="120"/>
        <w:rPr>
          <w:sz w:val="20"/>
        </w:rPr>
      </w:pPr>
      <w:r>
        <w:rPr>
          <w:rFonts w:hint="eastAsia"/>
          <w:sz w:val="20"/>
        </w:rPr>
        <w:t>For simultaneous DU-Tx/MT-Tx at IAB node, if MT Tx on backhaul link and</w:t>
      </w:r>
      <w:r>
        <w:rPr>
          <w:rFonts w:hint="eastAsia"/>
          <w:sz w:val="20"/>
        </w:rPr>
        <w:t xml:space="preserve"> DU Tx on access link operate simultaneously and share the same power amplifier, power sharing/coordination between the two links needs to ensure Tx power balance and keep the total Tx power not higher than the total maximum allowed Tx power. </w:t>
      </w:r>
      <w:r>
        <w:rPr>
          <w:rFonts w:hint="eastAsia"/>
          <w:sz w:val="20"/>
        </w:rPr>
        <w:t>To avoid thes</w:t>
      </w:r>
      <w:r>
        <w:rPr>
          <w:rFonts w:hint="eastAsia"/>
          <w:sz w:val="20"/>
        </w:rPr>
        <w:t>e issues</w:t>
      </w:r>
      <w:r>
        <w:rPr>
          <w:rFonts w:hint="eastAsia"/>
          <w:sz w:val="20"/>
        </w:rPr>
        <w:t>, some assist information is necessary to control Tx power. For example, the CU can provide maximum allowed UL Tx power of IAB-MT and maximum allowed DL Tx power of IAB-DU to IAB node to determine the actual Tx power.</w:t>
      </w:r>
    </w:p>
    <w:p w:rsidR="00D70E67" w:rsidRDefault="00C06BA2">
      <w:pPr>
        <w:pStyle w:val="YJ-Proposal"/>
        <w:widowControl w:val="0"/>
        <w:spacing w:before="120" w:after="120"/>
        <w:rPr>
          <w:u w:val="single"/>
        </w:rPr>
      </w:pPr>
      <w:bookmarkStart w:id="12" w:name="_Toc11311"/>
      <w:bookmarkStart w:id="13" w:name="_Toc27921"/>
      <w:bookmarkStart w:id="14" w:name="_Toc1397"/>
      <w:bookmarkStart w:id="15" w:name="_Toc2022"/>
      <w:bookmarkStart w:id="16" w:name="_Toc14021"/>
      <w:bookmarkStart w:id="17" w:name="_Toc31651"/>
      <w:bookmarkStart w:id="18" w:name="_Toc26315"/>
      <w:bookmarkStart w:id="19" w:name="_Toc7136"/>
      <w:bookmarkStart w:id="20" w:name="_Toc71712011"/>
      <w:bookmarkStart w:id="21" w:name="_Toc79225783"/>
      <w:r>
        <w:rPr>
          <w:rFonts w:hint="eastAsia"/>
          <w:lang w:val="en-US" w:eastAsia="zh-CN"/>
        </w:rPr>
        <w:t xml:space="preserve">An IAB node can be configured </w:t>
      </w:r>
      <w:r>
        <w:rPr>
          <w:rFonts w:hint="eastAsia"/>
          <w:lang w:val="en-US" w:eastAsia="zh-CN"/>
        </w:rPr>
        <w:t xml:space="preserve">with a </w:t>
      </w:r>
      <w:r>
        <w:rPr>
          <w:rFonts w:hint="eastAsia"/>
        </w:rPr>
        <w:t xml:space="preserve">maximum </w:t>
      </w:r>
      <w:r>
        <w:rPr>
          <w:rFonts w:hint="eastAsia"/>
          <w:lang w:val="en-US" w:eastAsia="zh-CN"/>
        </w:rPr>
        <w:t xml:space="preserve">allowed UL Tx power of IAB-MT and a </w:t>
      </w:r>
      <w:r>
        <w:rPr>
          <w:rFonts w:hint="eastAsia"/>
        </w:rPr>
        <w:t xml:space="preserve">maximum </w:t>
      </w:r>
      <w:r>
        <w:rPr>
          <w:rFonts w:hint="eastAsia"/>
          <w:lang w:val="en-US" w:eastAsia="zh-CN"/>
        </w:rPr>
        <w:t>allowed DL Tx power of IAB-DU in case of simultaneous DU-Tx/MT-Tx at the IAB node</w:t>
      </w:r>
      <w:r>
        <w:rPr>
          <w:rFonts w:cs="Times" w:hint="eastAsia"/>
          <w:lang w:val="en-US" w:eastAsia="zh-CN"/>
        </w:rPr>
        <w:t>.</w:t>
      </w:r>
      <w:bookmarkEnd w:id="12"/>
      <w:bookmarkEnd w:id="13"/>
      <w:bookmarkEnd w:id="14"/>
      <w:bookmarkEnd w:id="15"/>
      <w:bookmarkEnd w:id="16"/>
      <w:bookmarkEnd w:id="17"/>
      <w:bookmarkEnd w:id="18"/>
      <w:bookmarkEnd w:id="19"/>
      <w:bookmarkEnd w:id="20"/>
      <w:bookmarkEnd w:id="21"/>
    </w:p>
    <w:p w:rsidR="00D70E67" w:rsidRDefault="00C06BA2">
      <w:pPr>
        <w:widowControl w:val="0"/>
        <w:spacing w:before="120" w:after="120"/>
        <w:rPr>
          <w:b/>
          <w:i/>
          <w:sz w:val="20"/>
          <w:u w:val="single"/>
        </w:rPr>
      </w:pPr>
      <w:r>
        <w:rPr>
          <w:rFonts w:hint="eastAsia"/>
          <w:b/>
          <w:i/>
          <w:sz w:val="20"/>
          <w:u w:val="single"/>
        </w:rPr>
        <w:t>UL p</w:t>
      </w:r>
      <w:r>
        <w:rPr>
          <w:b/>
          <w:i/>
          <w:sz w:val="20"/>
          <w:u w:val="single"/>
        </w:rPr>
        <w:t xml:space="preserve">ower </w:t>
      </w:r>
      <w:r>
        <w:rPr>
          <w:rFonts w:hint="eastAsia"/>
          <w:b/>
          <w:i/>
          <w:sz w:val="20"/>
          <w:u w:val="single"/>
        </w:rPr>
        <w:t xml:space="preserve">control </w:t>
      </w:r>
      <w:r>
        <w:rPr>
          <w:rFonts w:hint="eastAsia"/>
          <w:b/>
          <w:i/>
          <w:sz w:val="20"/>
          <w:u w:val="single"/>
        </w:rPr>
        <w:t>o</w:t>
      </w:r>
      <w:r>
        <w:rPr>
          <w:rFonts w:hint="eastAsia"/>
          <w:b/>
          <w:i/>
          <w:sz w:val="20"/>
          <w:u w:val="single"/>
        </w:rPr>
        <w:t>f</w:t>
      </w:r>
      <w:r>
        <w:rPr>
          <w:rFonts w:hint="eastAsia"/>
          <w:b/>
          <w:i/>
          <w:sz w:val="20"/>
          <w:u w:val="single"/>
        </w:rPr>
        <w:t xml:space="preserve"> </w:t>
      </w:r>
      <w:r>
        <w:rPr>
          <w:rFonts w:hint="eastAsia"/>
          <w:b/>
          <w:i/>
          <w:sz w:val="20"/>
          <w:u w:val="single"/>
        </w:rPr>
        <w:t xml:space="preserve">an IAB node </w:t>
      </w:r>
      <w:r>
        <w:rPr>
          <w:rFonts w:hint="eastAsia"/>
          <w:b/>
          <w:i/>
          <w:sz w:val="20"/>
          <w:u w:val="single"/>
        </w:rPr>
        <w:t>MT</w:t>
      </w:r>
    </w:p>
    <w:p w:rsidR="00D70E67" w:rsidRDefault="00C06BA2">
      <w:pPr>
        <w:widowControl w:val="0"/>
        <w:spacing w:before="120" w:after="120"/>
        <w:rPr>
          <w:sz w:val="20"/>
        </w:rPr>
      </w:pPr>
      <w:r>
        <w:rPr>
          <w:rFonts w:hint="eastAsia"/>
          <w:sz w:val="20"/>
        </w:rPr>
        <w:t xml:space="preserve">For simultaneous DU-Tx/MT-Tx at </w:t>
      </w:r>
      <w:r>
        <w:rPr>
          <w:rFonts w:hint="eastAsia"/>
          <w:sz w:val="20"/>
        </w:rPr>
        <w:t>IAB</w:t>
      </w:r>
      <w:r>
        <w:rPr>
          <w:rFonts w:hint="eastAsia"/>
          <w:sz w:val="20"/>
        </w:rPr>
        <w:t xml:space="preserve"> node, power sharing/coordination needs to b</w:t>
      </w:r>
      <w:r>
        <w:rPr>
          <w:rFonts w:hint="eastAsia"/>
          <w:sz w:val="20"/>
        </w:rPr>
        <w:t xml:space="preserve">e considered. In this case, the maximum allowed Tx power for </w:t>
      </w:r>
      <w:r>
        <w:rPr>
          <w:rFonts w:hint="eastAsia"/>
          <w:sz w:val="20"/>
        </w:rPr>
        <w:t>IAB</w:t>
      </w:r>
      <w:r>
        <w:rPr>
          <w:rFonts w:hint="eastAsia"/>
          <w:sz w:val="20"/>
        </w:rPr>
        <w:t xml:space="preserve">-MT is limited by the maximum allowed Tx power of </w:t>
      </w:r>
      <w:r>
        <w:rPr>
          <w:rFonts w:hint="eastAsia"/>
          <w:sz w:val="20"/>
        </w:rPr>
        <w:t>IAB</w:t>
      </w:r>
      <w:r>
        <w:rPr>
          <w:rFonts w:hint="eastAsia"/>
          <w:sz w:val="20"/>
        </w:rPr>
        <w:t xml:space="preserve"> node and DL Tx power for </w:t>
      </w:r>
      <w:r>
        <w:rPr>
          <w:rFonts w:hint="eastAsia"/>
          <w:sz w:val="20"/>
        </w:rPr>
        <w:t>IAB</w:t>
      </w:r>
      <w:r>
        <w:rPr>
          <w:rFonts w:hint="eastAsia"/>
          <w:sz w:val="20"/>
        </w:rPr>
        <w:t xml:space="preserve">-DU. While </w:t>
      </w:r>
      <w:r>
        <w:rPr>
          <w:rFonts w:hint="eastAsia"/>
          <w:sz w:val="20"/>
        </w:rPr>
        <w:t xml:space="preserve">backhaul </w:t>
      </w:r>
      <w:r>
        <w:rPr>
          <w:rFonts w:hint="eastAsia"/>
          <w:sz w:val="20"/>
        </w:rPr>
        <w:t xml:space="preserve">link and </w:t>
      </w:r>
      <w:r>
        <w:rPr>
          <w:rFonts w:hint="eastAsia"/>
          <w:sz w:val="20"/>
        </w:rPr>
        <w:t xml:space="preserve">access </w:t>
      </w:r>
      <w:r>
        <w:rPr>
          <w:rFonts w:hint="eastAsia"/>
          <w:sz w:val="20"/>
        </w:rPr>
        <w:t xml:space="preserve">link of </w:t>
      </w:r>
      <w:r>
        <w:rPr>
          <w:rFonts w:hint="eastAsia"/>
          <w:sz w:val="20"/>
        </w:rPr>
        <w:t>IAB</w:t>
      </w:r>
      <w:r>
        <w:rPr>
          <w:rFonts w:hint="eastAsia"/>
          <w:sz w:val="20"/>
        </w:rPr>
        <w:t xml:space="preserve"> node are multiplexing in TDM manner, the maximum allowed Tx po</w:t>
      </w:r>
      <w:r>
        <w:rPr>
          <w:rFonts w:hint="eastAsia"/>
          <w:sz w:val="20"/>
        </w:rPr>
        <w:t xml:space="preserve">wer for </w:t>
      </w:r>
      <w:r>
        <w:rPr>
          <w:rFonts w:hint="eastAsia"/>
          <w:sz w:val="20"/>
        </w:rPr>
        <w:t>IAB</w:t>
      </w:r>
      <w:r>
        <w:rPr>
          <w:rFonts w:hint="eastAsia"/>
          <w:sz w:val="20"/>
        </w:rPr>
        <w:t xml:space="preserve">-MT can equal to the maximum allowed Tx power of </w:t>
      </w:r>
      <w:r>
        <w:rPr>
          <w:rFonts w:hint="eastAsia"/>
          <w:sz w:val="20"/>
        </w:rPr>
        <w:t>IAB</w:t>
      </w:r>
      <w:r>
        <w:rPr>
          <w:rFonts w:hint="eastAsia"/>
          <w:sz w:val="20"/>
        </w:rPr>
        <w:t xml:space="preserve"> node to make full use of power resources. Therefore, for different multiplexing scenarios or time resources </w:t>
      </w:r>
      <w:r>
        <w:rPr>
          <w:rFonts w:hint="eastAsia"/>
          <w:sz w:val="20"/>
        </w:rPr>
        <w:t>IAB</w:t>
      </w:r>
      <w:r>
        <w:rPr>
          <w:rFonts w:hint="eastAsia"/>
          <w:sz w:val="20"/>
        </w:rPr>
        <w:t xml:space="preserve">-MT may have different power control parameter values. </w:t>
      </w:r>
    </w:p>
    <w:p w:rsidR="00D70E67" w:rsidRDefault="00C06BA2">
      <w:pPr>
        <w:widowControl w:val="0"/>
        <w:spacing w:before="120" w:after="120"/>
        <w:rPr>
          <w:sz w:val="20"/>
        </w:rPr>
      </w:pPr>
      <w:r>
        <w:rPr>
          <w:sz w:val="20"/>
        </w:rPr>
        <w:t xml:space="preserve">There are some factors, e.g. timing alignment, </w:t>
      </w:r>
      <w:r>
        <w:rPr>
          <w:rFonts w:hint="eastAsia"/>
          <w:sz w:val="20"/>
        </w:rPr>
        <w:t xml:space="preserve">Tx </w:t>
      </w:r>
      <w:r>
        <w:rPr>
          <w:sz w:val="20"/>
        </w:rPr>
        <w:t>power and beams used by IAB</w:t>
      </w:r>
      <w:r>
        <w:rPr>
          <w:rFonts w:hint="eastAsia"/>
          <w:sz w:val="20"/>
        </w:rPr>
        <w:t xml:space="preserve"> node </w:t>
      </w:r>
      <w:r>
        <w:rPr>
          <w:sz w:val="20"/>
        </w:rPr>
        <w:t>DU and</w:t>
      </w:r>
      <w:r>
        <w:rPr>
          <w:rFonts w:hint="eastAsia"/>
          <w:sz w:val="20"/>
        </w:rPr>
        <w:t xml:space="preserve"> </w:t>
      </w:r>
      <w:r>
        <w:rPr>
          <w:sz w:val="20"/>
        </w:rPr>
        <w:t>MT, which can impact the actual simultaneous operation capabilities. Therefore,</w:t>
      </w:r>
      <w:r>
        <w:rPr>
          <w:rFonts w:hint="eastAsia"/>
          <w:sz w:val="20"/>
        </w:rPr>
        <w:t xml:space="preserve"> UL power control parameters of IAB-MT should be associated with the time resource. Whe</w:t>
      </w:r>
      <w:r>
        <w:rPr>
          <w:rFonts w:hint="eastAsia"/>
          <w:sz w:val="20"/>
        </w:rPr>
        <w:t>re time resource can be configured by parent node, or be determined according to predefined rules</w:t>
      </w:r>
      <w:r>
        <w:rPr>
          <w:rFonts w:hint="eastAsia"/>
        </w:rPr>
        <w:t xml:space="preserve"> (e.g. </w:t>
      </w:r>
      <w:r>
        <w:rPr>
          <w:rFonts w:hint="eastAsia"/>
        </w:rPr>
        <w:t>associate</w:t>
      </w:r>
      <w:r>
        <w:rPr>
          <w:rFonts w:hint="eastAsia"/>
        </w:rPr>
        <w:t>d</w:t>
      </w:r>
      <w:r>
        <w:rPr>
          <w:rFonts w:hint="eastAsia"/>
        </w:rPr>
        <w:t xml:space="preserve"> with</w:t>
      </w:r>
      <w:r>
        <w:rPr>
          <w:rFonts w:hint="eastAsia"/>
        </w:rPr>
        <w:t xml:space="preserve"> timing mode at IAB node)</w:t>
      </w:r>
      <w:r>
        <w:rPr>
          <w:rFonts w:hint="eastAsia"/>
          <w:sz w:val="20"/>
        </w:rPr>
        <w:t>.</w:t>
      </w:r>
    </w:p>
    <w:p w:rsidR="00D70E67" w:rsidRDefault="00C06BA2">
      <w:pPr>
        <w:widowControl w:val="0"/>
        <w:spacing w:before="120" w:after="120"/>
        <w:rPr>
          <w:sz w:val="20"/>
        </w:rPr>
      </w:pPr>
      <w:r>
        <w:rPr>
          <w:rFonts w:hint="eastAsia"/>
          <w:sz w:val="20"/>
        </w:rPr>
        <w:t xml:space="preserve">For each time resource, there seems to be no strong motivation to </w:t>
      </w:r>
      <w:r>
        <w:rPr>
          <w:rFonts w:eastAsia="Calibri" w:cs="Times"/>
          <w:sz w:val="20"/>
        </w:rPr>
        <w:t>support an IAB-node indicating assistance in</w:t>
      </w:r>
      <w:r>
        <w:rPr>
          <w:rFonts w:eastAsia="Calibri" w:cs="Times"/>
          <w:sz w:val="20"/>
        </w:rPr>
        <w:t>formation to help with its MT’s UL TX power control</w:t>
      </w:r>
      <w:r>
        <w:rPr>
          <w:rFonts w:hint="eastAsia"/>
          <w:sz w:val="20"/>
        </w:rPr>
        <w:t>.</w:t>
      </w:r>
    </w:p>
    <w:p w:rsidR="00D70E67" w:rsidRDefault="00C06BA2">
      <w:pPr>
        <w:spacing w:before="120" w:after="120"/>
        <w:rPr>
          <w:sz w:val="20"/>
        </w:rPr>
      </w:pPr>
      <w:r>
        <w:rPr>
          <w:rFonts w:hint="eastAsia"/>
          <w:sz w:val="20"/>
        </w:rPr>
        <w:t>For an IAB node performing simultaneous DU-Rx/MT-Rx, it can control UL Tx power of child-MT based on estimated DL Rx power to ensure Rx power balance.</w:t>
      </w:r>
    </w:p>
    <w:p w:rsidR="00D70E67" w:rsidRDefault="00C06BA2">
      <w:pPr>
        <w:pStyle w:val="YJ-Proposal"/>
        <w:widowControl w:val="0"/>
        <w:spacing w:before="120" w:after="120"/>
      </w:pPr>
      <w:bookmarkStart w:id="22" w:name="_Toc384"/>
      <w:bookmarkStart w:id="23" w:name="_Toc9088"/>
      <w:bookmarkStart w:id="24" w:name="_Toc6976"/>
      <w:bookmarkStart w:id="25" w:name="_Toc2174"/>
      <w:bookmarkStart w:id="26" w:name="_Toc3266"/>
      <w:bookmarkStart w:id="27" w:name="_Toc1364"/>
      <w:bookmarkStart w:id="28" w:name="_Toc13860"/>
      <w:bookmarkStart w:id="29" w:name="_Toc18911"/>
      <w:bookmarkStart w:id="30" w:name="_Toc27069"/>
      <w:bookmarkStart w:id="31" w:name="_Toc24383"/>
      <w:bookmarkStart w:id="32" w:name="_Toc9323"/>
      <w:bookmarkStart w:id="33" w:name="_Toc9005"/>
      <w:bookmarkStart w:id="34" w:name="_Toc11573"/>
      <w:bookmarkStart w:id="35" w:name="_Toc26885"/>
      <w:bookmarkStart w:id="36" w:name="_Toc71712012"/>
      <w:bookmarkStart w:id="37" w:name="_Toc2238"/>
      <w:bookmarkStart w:id="38" w:name="_Toc68678816"/>
      <w:bookmarkStart w:id="39" w:name="_Toc8469"/>
      <w:bookmarkStart w:id="40" w:name="_Toc79225784"/>
      <w:r>
        <w:rPr>
          <w:rFonts w:hint="eastAsia"/>
          <w:lang w:val="en-US" w:eastAsia="zh-CN"/>
        </w:rPr>
        <w:t xml:space="preserve">Support different </w:t>
      </w:r>
      <w:r>
        <w:rPr>
          <w:rFonts w:hint="eastAsia"/>
        </w:rPr>
        <w:t xml:space="preserve">UL power control </w:t>
      </w:r>
      <w:r>
        <w:rPr>
          <w:rFonts w:hint="eastAsia"/>
          <w:lang w:val="en-US" w:eastAsia="zh-CN"/>
        </w:rPr>
        <w:t>parameters for di</w:t>
      </w:r>
      <w:r>
        <w:rPr>
          <w:rFonts w:hint="eastAsia"/>
          <w:lang w:val="en-US" w:eastAsia="zh-CN"/>
        </w:rPr>
        <w:t>fferent time resources of IAB MT.</w:t>
      </w:r>
      <w:bookmarkEnd w:id="40"/>
    </w:p>
    <w:p w:rsidR="00D70E67" w:rsidRDefault="00C06BA2">
      <w:pPr>
        <w:pStyle w:val="YJ-Proposal"/>
        <w:widowControl w:val="0"/>
        <w:numPr>
          <w:ilvl w:val="1"/>
          <w:numId w:val="2"/>
        </w:numPr>
        <w:spacing w:before="120" w:after="120"/>
      </w:pPr>
      <w:bookmarkStart w:id="41" w:name="_Toc79225785"/>
      <w:r>
        <w:rPr>
          <w:rFonts w:hint="eastAsia"/>
          <w:lang w:val="en-US" w:eastAsia="zh-CN"/>
        </w:rPr>
        <w:t>L</w:t>
      </w:r>
      <w:r>
        <w:rPr>
          <w:rFonts w:eastAsia="Calibri"/>
        </w:rPr>
        <w:t>egacy UL power control mechanism</w:t>
      </w:r>
      <w:r>
        <w:rPr>
          <w:rFonts w:eastAsia="宋体" w:hint="eastAsia"/>
          <w:lang w:val="en-US" w:eastAsia="zh-CN"/>
        </w:rPr>
        <w:t xml:space="preserve"> is reused for a given time resource with its associated </w:t>
      </w:r>
      <w:r>
        <w:rPr>
          <w:rFonts w:hint="eastAsia"/>
        </w:rPr>
        <w:t xml:space="preserve">UL power control </w:t>
      </w:r>
      <w:r>
        <w:rPr>
          <w:rFonts w:hint="eastAsia"/>
          <w:lang w:val="en-US" w:eastAsia="zh-CN"/>
        </w:rPr>
        <w:t>parameters</w:t>
      </w:r>
      <w:r>
        <w:rPr>
          <w:lang w:val="en-US" w:eastAsia="zh-CN"/>
        </w:rPr>
        <w: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p>
    <w:p w:rsidR="00D70E67" w:rsidRDefault="00D70E67">
      <w:pPr>
        <w:pStyle w:val="YJ-Proposal"/>
        <w:widowControl w:val="0"/>
        <w:numPr>
          <w:ilvl w:val="255"/>
          <w:numId w:val="0"/>
        </w:numPr>
        <w:spacing w:before="120" w:after="120"/>
        <w:rPr>
          <w:lang w:val="en-US" w:eastAsia="zh-CN"/>
        </w:rPr>
      </w:pPr>
      <w:bookmarkStart w:id="42" w:name="_Toc19102"/>
      <w:bookmarkStart w:id="43" w:name="_Toc16240"/>
      <w:bookmarkStart w:id="44" w:name="_Toc5180"/>
      <w:bookmarkEnd w:id="42"/>
      <w:bookmarkEnd w:id="43"/>
      <w:bookmarkEnd w:id="44"/>
    </w:p>
    <w:p w:rsidR="00D70E67" w:rsidRDefault="00C06BA2">
      <w:pPr>
        <w:widowControl w:val="0"/>
        <w:spacing w:before="120" w:after="120"/>
        <w:rPr>
          <w:b/>
          <w:i/>
          <w:sz w:val="20"/>
          <w:u w:val="single"/>
        </w:rPr>
      </w:pPr>
      <w:r>
        <w:rPr>
          <w:rFonts w:hint="eastAsia"/>
          <w:b/>
          <w:i/>
          <w:sz w:val="20"/>
          <w:u w:val="single"/>
        </w:rPr>
        <w:t>DL p</w:t>
      </w:r>
      <w:r>
        <w:rPr>
          <w:b/>
          <w:i/>
          <w:sz w:val="20"/>
          <w:u w:val="single"/>
        </w:rPr>
        <w:t xml:space="preserve">ower allocation </w:t>
      </w:r>
      <w:r>
        <w:rPr>
          <w:rFonts w:hint="eastAsia"/>
          <w:b/>
          <w:i/>
          <w:sz w:val="20"/>
          <w:u w:val="single"/>
        </w:rPr>
        <w:t>o</w:t>
      </w:r>
      <w:r>
        <w:rPr>
          <w:rFonts w:hint="eastAsia"/>
          <w:b/>
          <w:i/>
          <w:sz w:val="20"/>
          <w:u w:val="single"/>
        </w:rPr>
        <w:t>f</w:t>
      </w:r>
      <w:r>
        <w:rPr>
          <w:rFonts w:hint="eastAsia"/>
          <w:b/>
          <w:i/>
          <w:sz w:val="20"/>
          <w:u w:val="single"/>
        </w:rPr>
        <w:t xml:space="preserve"> parent node DU</w:t>
      </w:r>
    </w:p>
    <w:p w:rsidR="00D70E67" w:rsidRDefault="00C06BA2">
      <w:pPr>
        <w:widowControl w:val="0"/>
        <w:spacing w:before="120" w:after="120"/>
        <w:rPr>
          <w:sz w:val="20"/>
        </w:rPr>
      </w:pPr>
      <w:r>
        <w:rPr>
          <w:sz w:val="20"/>
        </w:rPr>
        <w:t>Similar to UL power control</w:t>
      </w:r>
      <w:r>
        <w:rPr>
          <w:rFonts w:hint="eastAsia"/>
          <w:sz w:val="20"/>
        </w:rPr>
        <w:t xml:space="preserve"> of NR access UEs, the parameters use</w:t>
      </w:r>
      <w:r>
        <w:rPr>
          <w:rFonts w:hint="eastAsia"/>
          <w:sz w:val="20"/>
        </w:rPr>
        <w:t xml:space="preserve">d for DL power </w:t>
      </w:r>
      <w:r>
        <w:rPr>
          <w:rFonts w:eastAsia="Calibri" w:cs="Times"/>
          <w:sz w:val="20"/>
        </w:rPr>
        <w:t xml:space="preserve">allocation </w:t>
      </w:r>
      <w:r>
        <w:rPr>
          <w:rFonts w:hint="eastAsia"/>
          <w:sz w:val="20"/>
        </w:rPr>
        <w:t xml:space="preserve">of </w:t>
      </w:r>
      <w:r>
        <w:rPr>
          <w:rFonts w:hint="eastAsia"/>
          <w:sz w:val="20"/>
        </w:rPr>
        <w:t xml:space="preserve">parent node </w:t>
      </w:r>
      <w:r>
        <w:rPr>
          <w:rFonts w:hint="eastAsia"/>
          <w:sz w:val="20"/>
        </w:rPr>
        <w:t xml:space="preserve">DU should be associated with beam information. In </w:t>
      </w:r>
      <w:r>
        <w:rPr>
          <w:sz w:val="20"/>
        </w:rPr>
        <w:t>practice</w:t>
      </w:r>
      <w:r>
        <w:rPr>
          <w:rFonts w:hint="eastAsia"/>
          <w:sz w:val="20"/>
        </w:rPr>
        <w:t>,</w:t>
      </w:r>
      <w:r>
        <w:rPr>
          <w:sz w:val="20"/>
        </w:rPr>
        <w:t xml:space="preserve"> </w:t>
      </w:r>
      <w:r>
        <w:rPr>
          <w:rFonts w:hint="eastAsia"/>
          <w:sz w:val="20"/>
        </w:rPr>
        <w:t xml:space="preserve">DU can use different beams in different time and this would lead to different RX power and DL pathloss at its </w:t>
      </w:r>
      <w:r>
        <w:rPr>
          <w:rFonts w:hint="eastAsia"/>
          <w:sz w:val="20"/>
        </w:rPr>
        <w:t xml:space="preserve">IAB </w:t>
      </w:r>
      <w:r>
        <w:rPr>
          <w:rFonts w:hint="eastAsia"/>
          <w:sz w:val="20"/>
        </w:rPr>
        <w:t>node.</w:t>
      </w:r>
    </w:p>
    <w:p w:rsidR="00D70E67" w:rsidRDefault="00C06BA2">
      <w:pPr>
        <w:pStyle w:val="YJ-Proposal"/>
        <w:widowControl w:val="0"/>
        <w:spacing w:before="120" w:after="120"/>
        <w:rPr>
          <w:lang w:val="en-US" w:eastAsia="zh-CN"/>
        </w:rPr>
      </w:pPr>
      <w:bookmarkStart w:id="45" w:name="_Toc23713"/>
      <w:bookmarkStart w:id="46" w:name="_Toc29761"/>
      <w:bookmarkStart w:id="47" w:name="_Toc8173"/>
      <w:bookmarkStart w:id="48" w:name="_Toc17583"/>
      <w:bookmarkStart w:id="49" w:name="_Toc15441"/>
      <w:bookmarkStart w:id="50" w:name="_Toc18791"/>
      <w:bookmarkStart w:id="51" w:name="_Toc71712014"/>
      <w:bookmarkStart w:id="52" w:name="_Toc19023"/>
      <w:bookmarkStart w:id="53" w:name="_Toc20723"/>
      <w:bookmarkStart w:id="54" w:name="_Toc30906"/>
      <w:bookmarkStart w:id="55" w:name="_Toc6496"/>
      <w:bookmarkStart w:id="56" w:name="_Toc19396"/>
      <w:bookmarkStart w:id="57" w:name="_Toc16514"/>
      <w:bookmarkStart w:id="58" w:name="_Toc18776"/>
      <w:bookmarkStart w:id="59" w:name="_Toc29428"/>
      <w:bookmarkStart w:id="60" w:name="_Toc21069"/>
      <w:bookmarkStart w:id="61" w:name="_Toc372"/>
      <w:bookmarkStart w:id="62" w:name="_Toc1155"/>
      <w:bookmarkStart w:id="63" w:name="_Toc13587"/>
      <w:bookmarkStart w:id="64" w:name="_Toc9985"/>
      <w:bookmarkStart w:id="65" w:name="_Toc15174"/>
      <w:bookmarkStart w:id="66" w:name="_Toc13749"/>
      <w:bookmarkStart w:id="67" w:name="_Toc28805"/>
      <w:bookmarkStart w:id="68" w:name="_Toc29828"/>
      <w:bookmarkStart w:id="69" w:name="_Toc11198"/>
      <w:bookmarkStart w:id="70" w:name="_Toc23524"/>
      <w:bookmarkStart w:id="71" w:name="_Toc11804"/>
      <w:bookmarkStart w:id="72" w:name="_Toc17997"/>
      <w:bookmarkStart w:id="73" w:name="_Toc14591"/>
      <w:bookmarkStart w:id="74" w:name="_Toc4152"/>
      <w:bookmarkStart w:id="75" w:name="_Toc2987"/>
      <w:bookmarkStart w:id="76" w:name="_Toc79225786"/>
      <w:r>
        <w:rPr>
          <w:rFonts w:hint="eastAsia"/>
        </w:rPr>
        <w:t xml:space="preserve">Beam depended DL power </w:t>
      </w:r>
      <w:r>
        <w:rPr>
          <w:rFonts w:eastAsia="Calibri" w:cs="Times"/>
        </w:rPr>
        <w:t xml:space="preserve">allocation </w:t>
      </w:r>
      <w:r>
        <w:rPr>
          <w:rFonts w:hint="eastAsia"/>
        </w:rPr>
        <w:t xml:space="preserve">of </w:t>
      </w:r>
      <w:r>
        <w:rPr>
          <w:rFonts w:hint="eastAsia"/>
          <w:lang w:val="en-US" w:eastAsia="zh-CN"/>
        </w:rPr>
        <w:t xml:space="preserve">parent node </w:t>
      </w:r>
      <w:r>
        <w:rPr>
          <w:rFonts w:hint="eastAsia"/>
        </w:rPr>
        <w:t>DU should be considered</w:t>
      </w:r>
      <w:r>
        <w:rPr>
          <w:rFonts w:hint="eastAsia"/>
          <w:lang w:val="en-US" w:eastAsia="zh-CN"/>
        </w:rPr>
        <w:t>, parent node DU provides DL power allocation parameters and associated beam information to IAB node MTs</w:t>
      </w:r>
      <w:r>
        <w:rPr>
          <w:rFonts w:hint="eastAsia"/>
        </w:rPr>
        <w:t xml:space="preserve"> (e.g.</w:t>
      </w:r>
      <w:r>
        <w:t>,</w:t>
      </w:r>
      <w:r>
        <w:rPr>
          <w:rFonts w:hint="eastAsia"/>
        </w:rPr>
        <w:t xml:space="preserve"> different PC parameters could be associated with different TCI states, or CSI-RSs)</w:t>
      </w:r>
      <w:r>
        <w:rPr>
          <w:rFonts w:hint="eastAsia"/>
          <w:lang w:val="en-US" w:eastAsia="zh-CN"/>
        </w:rPr>
        <w: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hint="eastAsia"/>
          <w:lang w:val="en-US" w:eastAsia="zh-CN"/>
        </w:rPr>
        <w:t xml:space="preserve"> </w:t>
      </w:r>
    </w:p>
    <w:p w:rsidR="00D70E67" w:rsidRDefault="00C06BA2">
      <w:pPr>
        <w:widowControl w:val="0"/>
        <w:spacing w:before="120" w:after="120"/>
        <w:rPr>
          <w:rFonts w:cs="Times"/>
          <w:sz w:val="20"/>
        </w:rPr>
      </w:pPr>
      <w:r>
        <w:rPr>
          <w:rFonts w:hint="eastAsia"/>
          <w:sz w:val="20"/>
        </w:rPr>
        <w:t>For DL power allocation of a</w:t>
      </w:r>
      <w:r>
        <w:rPr>
          <w:rFonts w:hint="eastAsia"/>
          <w:sz w:val="20"/>
        </w:rPr>
        <w:t xml:space="preserve"> parent node DU of an IAB node, it was agreed that the </w:t>
      </w:r>
      <w:r>
        <w:rPr>
          <w:rFonts w:eastAsia="Calibri" w:cs="Times"/>
          <w:sz w:val="20"/>
        </w:rPr>
        <w:t xml:space="preserve">information to assist DL power allocation of the parent-node is indicated </w:t>
      </w:r>
      <w:r>
        <w:rPr>
          <w:rFonts w:eastAsia="Calibri" w:cs="Times"/>
          <w:sz w:val="20"/>
        </w:rPr>
        <w:t xml:space="preserve">by the IAB-MT to the parent node DU </w:t>
      </w:r>
      <w:r>
        <w:rPr>
          <w:rFonts w:eastAsia="Calibri" w:cs="Times"/>
          <w:sz w:val="20"/>
        </w:rPr>
        <w:t>in terms of desired power adjustment.</w:t>
      </w:r>
      <w:r>
        <w:rPr>
          <w:rFonts w:cs="Times" w:hint="eastAsia"/>
          <w:sz w:val="20"/>
        </w:rPr>
        <w:t xml:space="preserve"> </w:t>
      </w:r>
      <w:r>
        <w:rPr>
          <w:rFonts w:cs="Times"/>
          <w:sz w:val="20"/>
        </w:rPr>
        <w:t xml:space="preserve">FFS applicability of assistance information, </w:t>
      </w:r>
      <w:r>
        <w:rPr>
          <w:rFonts w:cs="Times"/>
          <w:sz w:val="20"/>
        </w:rPr>
        <w:t>e.g. per multiplexing scenario, per resource, etc</w:t>
      </w:r>
      <w:r>
        <w:rPr>
          <w:rFonts w:cs="Times" w:hint="eastAsia"/>
          <w:sz w:val="20"/>
        </w:rPr>
        <w:t>.</w:t>
      </w:r>
    </w:p>
    <w:p w:rsidR="00D70E67" w:rsidRDefault="00C06BA2">
      <w:pPr>
        <w:widowControl w:val="0"/>
        <w:spacing w:before="120" w:after="120"/>
        <w:rPr>
          <w:sz w:val="20"/>
        </w:rPr>
      </w:pPr>
      <w:r>
        <w:rPr>
          <w:sz w:val="20"/>
        </w:rPr>
        <w:t xml:space="preserve">There are some factors, e.g. timing alignment, </w:t>
      </w:r>
      <w:r>
        <w:rPr>
          <w:rFonts w:hint="eastAsia"/>
          <w:sz w:val="20"/>
        </w:rPr>
        <w:t xml:space="preserve">Tx </w:t>
      </w:r>
      <w:r>
        <w:rPr>
          <w:sz w:val="20"/>
        </w:rPr>
        <w:t>power and beams used by</w:t>
      </w:r>
      <w:r>
        <w:rPr>
          <w:rFonts w:hint="eastAsia"/>
          <w:sz w:val="20"/>
        </w:rPr>
        <w:t xml:space="preserve"> IAB node </w:t>
      </w:r>
      <w:r>
        <w:rPr>
          <w:sz w:val="20"/>
        </w:rPr>
        <w:t>DU and</w:t>
      </w:r>
      <w:r>
        <w:rPr>
          <w:rFonts w:hint="eastAsia"/>
          <w:sz w:val="20"/>
        </w:rPr>
        <w:t xml:space="preserve"> </w:t>
      </w:r>
      <w:r>
        <w:rPr>
          <w:sz w:val="20"/>
        </w:rPr>
        <w:t>MT, which can impact the actual simultaneous operation capabilities</w:t>
      </w:r>
      <w:r>
        <w:rPr>
          <w:rFonts w:hint="eastAsia"/>
          <w:sz w:val="20"/>
        </w:rPr>
        <w:t xml:space="preserve"> (i.e. actual </w:t>
      </w:r>
      <w:r>
        <w:rPr>
          <w:rFonts w:cs="Times"/>
          <w:sz w:val="20"/>
        </w:rPr>
        <w:t>multiplexing scenario</w:t>
      </w:r>
      <w:r>
        <w:rPr>
          <w:rFonts w:hint="eastAsia"/>
          <w:sz w:val="20"/>
        </w:rPr>
        <w:t>) at IAB node</w:t>
      </w:r>
      <w:r>
        <w:rPr>
          <w:sz w:val="20"/>
        </w:rPr>
        <w:t>. Therefore,</w:t>
      </w:r>
      <w:r>
        <w:rPr>
          <w:rFonts w:hint="eastAsia"/>
          <w:sz w:val="20"/>
        </w:rPr>
        <w:t xml:space="preserve"> </w:t>
      </w:r>
      <w:r>
        <w:rPr>
          <w:rFonts w:cs="Times"/>
          <w:sz w:val="20"/>
        </w:rPr>
        <w:t>applicability of assistance information</w:t>
      </w:r>
      <w:r>
        <w:rPr>
          <w:rFonts w:cs="Times" w:hint="eastAsia"/>
          <w:sz w:val="20"/>
        </w:rPr>
        <w:t xml:space="preserve"> should be indicated per</w:t>
      </w:r>
      <w:r>
        <w:rPr>
          <w:rFonts w:hint="eastAsia"/>
          <w:sz w:val="20"/>
        </w:rPr>
        <w:t xml:space="preserve"> time resource by IAB node MT.</w:t>
      </w:r>
    </w:p>
    <w:p w:rsidR="00D70E67" w:rsidRDefault="00C06BA2">
      <w:pPr>
        <w:pStyle w:val="YJ-Proposal"/>
        <w:widowControl w:val="0"/>
        <w:spacing w:before="120" w:after="120"/>
        <w:rPr>
          <w:lang w:val="en-US" w:eastAsia="zh-CN"/>
        </w:rPr>
      </w:pPr>
      <w:bookmarkStart w:id="77" w:name="_Toc5791"/>
      <w:bookmarkStart w:id="78" w:name="_Toc32033"/>
      <w:bookmarkStart w:id="79" w:name="_Toc11293"/>
      <w:bookmarkStart w:id="80" w:name="_Toc17309"/>
      <w:bookmarkStart w:id="81" w:name="_Toc25701"/>
      <w:bookmarkStart w:id="82" w:name="_Toc32184"/>
      <w:bookmarkStart w:id="83" w:name="_Toc4804"/>
      <w:bookmarkStart w:id="84" w:name="_Toc28925"/>
      <w:bookmarkStart w:id="85" w:name="_Toc32384"/>
      <w:bookmarkStart w:id="86" w:name="_Toc3192"/>
      <w:bookmarkStart w:id="87" w:name="_Toc22725"/>
      <w:bookmarkStart w:id="88" w:name="_Toc71712015"/>
      <w:bookmarkStart w:id="89" w:name="_Toc11789"/>
      <w:bookmarkStart w:id="90" w:name="_Toc25096"/>
      <w:bookmarkStart w:id="91" w:name="_Toc20693"/>
      <w:bookmarkStart w:id="92" w:name="_Toc5363"/>
      <w:bookmarkStart w:id="93" w:name="_Toc12747"/>
      <w:bookmarkStart w:id="94" w:name="_Toc1969"/>
      <w:bookmarkStart w:id="95" w:name="_Toc22588"/>
      <w:bookmarkStart w:id="96" w:name="_Toc4326"/>
      <w:bookmarkStart w:id="97" w:name="_Toc16416"/>
      <w:bookmarkStart w:id="98" w:name="_Toc27828"/>
      <w:bookmarkStart w:id="99" w:name="_Toc17901"/>
      <w:bookmarkStart w:id="100" w:name="_Toc719"/>
      <w:bookmarkStart w:id="101" w:name="_Toc28043"/>
      <w:bookmarkStart w:id="102" w:name="_Toc13301"/>
      <w:bookmarkStart w:id="103" w:name="_Toc6903"/>
      <w:bookmarkStart w:id="104" w:name="_Toc18693"/>
      <w:bookmarkStart w:id="105" w:name="_Toc6862"/>
      <w:bookmarkStart w:id="106" w:name="_Toc13895"/>
      <w:bookmarkStart w:id="107" w:name="_Toc4950"/>
      <w:bookmarkStart w:id="108" w:name="_Toc79225787"/>
      <w:r>
        <w:rPr>
          <w:rFonts w:hint="eastAsia"/>
          <w:lang w:val="en-US" w:eastAsia="zh-CN"/>
        </w:rPr>
        <w:t xml:space="preserve">Assistance information for DL power </w:t>
      </w:r>
      <w:r>
        <w:rPr>
          <w:rFonts w:eastAsia="Calibri" w:cs="Times"/>
        </w:rPr>
        <w:t xml:space="preserve">allocation </w:t>
      </w:r>
      <w:r>
        <w:rPr>
          <w:rFonts w:hint="eastAsia"/>
          <w:lang w:val="en-US" w:eastAsia="zh-CN"/>
        </w:rPr>
        <w:t>of a</w:t>
      </w:r>
      <w:r>
        <w:rPr>
          <w:rFonts w:hint="eastAsia"/>
          <w:lang w:val="en-US" w:eastAsia="zh-CN"/>
        </w:rPr>
        <w:t xml:space="preserve"> parent node DU is indicated per time resource by IAB node MT.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Fonts w:hint="eastAsia"/>
          <w:lang w:val="en-US" w:eastAsia="zh-CN"/>
        </w:rPr>
        <w:t xml:space="preserve"> </w:t>
      </w:r>
    </w:p>
    <w:p w:rsidR="00D70E67" w:rsidRDefault="00C06BA2">
      <w:pPr>
        <w:pStyle w:val="2"/>
        <w:widowControl w:val="0"/>
        <w:spacing w:before="120" w:after="120"/>
        <w:ind w:right="210"/>
      </w:pPr>
      <w:r>
        <w:rPr>
          <w:rFonts w:ascii="Arial" w:hAnsi="Arial" w:cs="Arial" w:hint="eastAsia"/>
        </w:rPr>
        <w:t xml:space="preserve">2.3 </w:t>
      </w:r>
      <w:r>
        <w:rPr>
          <w:rFonts w:ascii="Arial" w:hAnsi="Arial" w:cs="Arial"/>
          <w:szCs w:val="22"/>
        </w:rPr>
        <w:t>CLI and interference measurem</w:t>
      </w:r>
      <w:r>
        <w:rPr>
          <w:rFonts w:ascii="Arial" w:hAnsi="Arial" w:cs="Arial"/>
          <w:szCs w:val="22"/>
        </w:rPr>
        <w:t>ents for simultaneous operation</w:t>
      </w:r>
    </w:p>
    <w:p w:rsidR="00D70E67" w:rsidRDefault="00C06BA2">
      <w:pPr>
        <w:widowControl w:val="0"/>
        <w:spacing w:before="120" w:after="120"/>
        <w:rPr>
          <w:sz w:val="20"/>
        </w:rPr>
      </w:pPr>
      <w:r>
        <w:rPr>
          <w:rFonts w:hint="eastAsia"/>
          <w:sz w:val="20"/>
        </w:rPr>
        <w:t>In RAN1#104-e and RAN1#105-e meetings, the following agreements were achieved:</w:t>
      </w:r>
    </w:p>
    <w:tbl>
      <w:tblPr>
        <w:tblStyle w:val="ae"/>
        <w:tblW w:w="0" w:type="auto"/>
        <w:tblLook w:val="04A0" w:firstRow="1" w:lastRow="0" w:firstColumn="1" w:lastColumn="0" w:noHBand="0" w:noVBand="1"/>
      </w:tblPr>
      <w:tblGrid>
        <w:gridCol w:w="9876"/>
      </w:tblGrid>
      <w:tr w:rsidR="00D70E67">
        <w:tc>
          <w:tcPr>
            <w:tcW w:w="9876" w:type="dxa"/>
          </w:tcPr>
          <w:p w:rsidR="00D70E67" w:rsidRDefault="00C06BA2">
            <w:pPr>
              <w:spacing w:before="120" w:after="120"/>
              <w:rPr>
                <w:rFonts w:eastAsia="Calibri"/>
                <w:b/>
                <w:bCs/>
                <w:sz w:val="20"/>
              </w:rPr>
            </w:pPr>
            <w:r>
              <w:rPr>
                <w:rFonts w:eastAsia="Calibri" w:hint="eastAsia"/>
                <w:b/>
                <w:bCs/>
                <w:sz w:val="20"/>
              </w:rPr>
              <w:t>RAN1#104-e</w:t>
            </w:r>
          </w:p>
          <w:p w:rsidR="00D70E67" w:rsidRDefault="00C06BA2">
            <w:pPr>
              <w:spacing w:before="120" w:after="120"/>
              <w:rPr>
                <w:rFonts w:cs="Times"/>
                <w:b/>
                <w:bCs/>
                <w:sz w:val="20"/>
                <w:highlight w:val="green"/>
              </w:rPr>
            </w:pPr>
            <w:r>
              <w:rPr>
                <w:rFonts w:cs="Times"/>
                <w:b/>
                <w:bCs/>
                <w:sz w:val="20"/>
                <w:highlight w:val="green"/>
              </w:rPr>
              <w:t>Agreement</w:t>
            </w:r>
          </w:p>
          <w:p w:rsidR="00D70E67" w:rsidRDefault="00C06BA2">
            <w:pPr>
              <w:spacing w:before="120" w:after="120"/>
              <w:rPr>
                <w:rFonts w:eastAsia="Calibri"/>
                <w:sz w:val="20"/>
              </w:rPr>
            </w:pPr>
            <w:r>
              <w:rPr>
                <w:rFonts w:eastAsia="Calibri"/>
                <w:sz w:val="20"/>
              </w:rPr>
              <w:t>RAN1 to select among the following options to support DU-to-DU measurement and report.</w:t>
            </w:r>
          </w:p>
          <w:p w:rsidR="00D70E67" w:rsidRDefault="00C06BA2">
            <w:pPr>
              <w:pStyle w:val="af4"/>
              <w:numPr>
                <w:ilvl w:val="0"/>
                <w:numId w:val="10"/>
              </w:numPr>
              <w:spacing w:after="120"/>
              <w:textAlignment w:val="baseline"/>
              <w:rPr>
                <w:rFonts w:eastAsia="Calibri" w:cs="Times"/>
                <w:sz w:val="20"/>
                <w:szCs w:val="20"/>
              </w:rPr>
            </w:pPr>
            <w:r>
              <w:rPr>
                <w:rFonts w:eastAsia="Calibri" w:cs="Times"/>
                <w:sz w:val="20"/>
                <w:szCs w:val="20"/>
              </w:rPr>
              <w:t>For DU-to-DU CLI measurement:</w:t>
            </w:r>
          </w:p>
          <w:p w:rsidR="00D70E67" w:rsidRDefault="00C06BA2">
            <w:pPr>
              <w:pStyle w:val="af4"/>
              <w:numPr>
                <w:ilvl w:val="1"/>
                <w:numId w:val="10"/>
              </w:numPr>
              <w:spacing w:after="120"/>
              <w:textAlignment w:val="baseline"/>
              <w:rPr>
                <w:rFonts w:eastAsia="Calibri" w:cs="Times"/>
                <w:sz w:val="20"/>
                <w:szCs w:val="20"/>
              </w:rPr>
            </w:pPr>
            <w:r>
              <w:rPr>
                <w:rFonts w:eastAsia="Calibri" w:cs="Times"/>
                <w:sz w:val="20"/>
                <w:szCs w:val="20"/>
              </w:rPr>
              <w:t xml:space="preserve">Option </w:t>
            </w:r>
            <w:r>
              <w:rPr>
                <w:rFonts w:eastAsia="Calibri" w:cs="Times"/>
                <w:sz w:val="20"/>
                <w:szCs w:val="20"/>
              </w:rPr>
              <w:t>1.1. no specific mechanism is specified (e.g., it is handled by the implementation, or the available techniques)</w:t>
            </w:r>
          </w:p>
          <w:p w:rsidR="00D70E67" w:rsidRDefault="00C06BA2">
            <w:pPr>
              <w:pStyle w:val="af4"/>
              <w:numPr>
                <w:ilvl w:val="1"/>
                <w:numId w:val="10"/>
              </w:numPr>
              <w:spacing w:after="120"/>
              <w:textAlignment w:val="baseline"/>
              <w:rPr>
                <w:rFonts w:eastAsia="Calibri" w:cs="Times"/>
                <w:sz w:val="20"/>
                <w:szCs w:val="20"/>
              </w:rPr>
            </w:pPr>
            <w:r>
              <w:rPr>
                <w:rFonts w:eastAsia="Calibri" w:cs="Times"/>
                <w:sz w:val="20"/>
                <w:szCs w:val="20"/>
              </w:rPr>
              <w:t>Option 1.2. enhanced legacy DU-based measurement procedures (e.g., enhanced Rel-16 RIM)</w:t>
            </w:r>
          </w:p>
          <w:p w:rsidR="00D70E67" w:rsidRDefault="00C06BA2">
            <w:pPr>
              <w:pStyle w:val="af4"/>
              <w:numPr>
                <w:ilvl w:val="1"/>
                <w:numId w:val="10"/>
              </w:numPr>
              <w:spacing w:after="120"/>
              <w:textAlignment w:val="baseline"/>
              <w:rPr>
                <w:rFonts w:eastAsia="Calibri" w:cs="Times"/>
                <w:sz w:val="20"/>
                <w:szCs w:val="20"/>
              </w:rPr>
            </w:pPr>
            <w:r>
              <w:rPr>
                <w:rFonts w:eastAsia="Calibri" w:cs="Times"/>
                <w:sz w:val="20"/>
                <w:szCs w:val="20"/>
              </w:rPr>
              <w:t>Option 1.3. enhanced MT-based measurements (e.g., MT-ba</w:t>
            </w:r>
            <w:r>
              <w:rPr>
                <w:rFonts w:eastAsia="Calibri" w:cs="Times"/>
                <w:sz w:val="20"/>
                <w:szCs w:val="20"/>
              </w:rPr>
              <w:t>sed CLI, MT RRM measurements)</w:t>
            </w:r>
          </w:p>
          <w:p w:rsidR="00D70E67" w:rsidRDefault="00C06BA2">
            <w:pPr>
              <w:pStyle w:val="af4"/>
              <w:numPr>
                <w:ilvl w:val="0"/>
                <w:numId w:val="10"/>
              </w:numPr>
              <w:spacing w:after="120"/>
              <w:textAlignment w:val="baseline"/>
              <w:rPr>
                <w:rFonts w:eastAsia="Calibri" w:cs="Times"/>
                <w:sz w:val="20"/>
                <w:szCs w:val="20"/>
              </w:rPr>
            </w:pPr>
            <w:r>
              <w:rPr>
                <w:rFonts w:eastAsia="Calibri" w:cs="Times"/>
                <w:sz w:val="20"/>
                <w:szCs w:val="20"/>
              </w:rPr>
              <w:t>For DU-to-DU CLI report:</w:t>
            </w:r>
          </w:p>
          <w:p w:rsidR="00D70E67" w:rsidRDefault="00C06BA2">
            <w:pPr>
              <w:pStyle w:val="af4"/>
              <w:numPr>
                <w:ilvl w:val="1"/>
                <w:numId w:val="10"/>
              </w:numPr>
              <w:spacing w:after="120"/>
              <w:textAlignment w:val="baseline"/>
              <w:rPr>
                <w:rFonts w:eastAsia="Calibri" w:cs="Times"/>
                <w:sz w:val="20"/>
                <w:szCs w:val="20"/>
              </w:rPr>
            </w:pPr>
            <w:r>
              <w:rPr>
                <w:rFonts w:eastAsia="Calibri" w:cs="Times"/>
                <w:sz w:val="20"/>
                <w:szCs w:val="20"/>
              </w:rPr>
              <w:t>Option 2.1. no specific mechanism is specified (e.g., it is handled by the implementation, or the available techniques)</w:t>
            </w:r>
          </w:p>
          <w:p w:rsidR="00D70E67" w:rsidRDefault="00C06BA2">
            <w:pPr>
              <w:pStyle w:val="af4"/>
              <w:numPr>
                <w:ilvl w:val="1"/>
                <w:numId w:val="10"/>
              </w:numPr>
              <w:spacing w:after="120"/>
              <w:textAlignment w:val="baseline"/>
              <w:rPr>
                <w:rFonts w:eastAsia="Calibri" w:cs="Times"/>
                <w:sz w:val="20"/>
                <w:szCs w:val="20"/>
              </w:rPr>
            </w:pPr>
            <w:r>
              <w:rPr>
                <w:rFonts w:eastAsia="Calibri" w:cs="Times"/>
                <w:sz w:val="20"/>
                <w:szCs w:val="20"/>
              </w:rPr>
              <w:t>Option 2.2. enhanced legacy DU-based report (e.g., enhanced Rel-16 RIM)</w:t>
            </w:r>
          </w:p>
          <w:p w:rsidR="00D70E67" w:rsidRDefault="00C06BA2">
            <w:pPr>
              <w:pStyle w:val="af4"/>
              <w:numPr>
                <w:ilvl w:val="1"/>
                <w:numId w:val="10"/>
              </w:numPr>
              <w:spacing w:after="120"/>
              <w:textAlignment w:val="baseline"/>
              <w:rPr>
                <w:rFonts w:eastAsia="Calibri" w:cs="Times"/>
                <w:sz w:val="20"/>
                <w:szCs w:val="20"/>
              </w:rPr>
            </w:pPr>
            <w:r>
              <w:rPr>
                <w:rFonts w:eastAsia="Calibri" w:cs="Times"/>
                <w:sz w:val="20"/>
                <w:szCs w:val="20"/>
              </w:rPr>
              <w:t>Option 2.</w:t>
            </w:r>
            <w:r>
              <w:rPr>
                <w:rFonts w:eastAsia="Calibri" w:cs="Times"/>
                <w:sz w:val="20"/>
                <w:szCs w:val="20"/>
              </w:rPr>
              <w:t>3. enhanced MT-based report (e.g., MT-based CLI, MT RRM measurements)</w:t>
            </w:r>
          </w:p>
          <w:p w:rsidR="00D70E67" w:rsidRDefault="00C06BA2">
            <w:pPr>
              <w:spacing w:before="120" w:after="120"/>
              <w:rPr>
                <w:rFonts w:cs="Times"/>
                <w:b/>
                <w:bCs/>
                <w:sz w:val="20"/>
                <w:highlight w:val="green"/>
              </w:rPr>
            </w:pPr>
            <w:r>
              <w:rPr>
                <w:rFonts w:cs="Times"/>
                <w:b/>
                <w:bCs/>
                <w:sz w:val="20"/>
                <w:highlight w:val="green"/>
              </w:rPr>
              <w:t>Agreement</w:t>
            </w:r>
          </w:p>
          <w:p w:rsidR="00D70E67" w:rsidRDefault="00C06BA2">
            <w:pPr>
              <w:spacing w:before="120" w:after="120"/>
              <w:rPr>
                <w:rFonts w:eastAsia="Calibri"/>
                <w:sz w:val="20"/>
              </w:rPr>
            </w:pPr>
            <w:r>
              <w:rPr>
                <w:rFonts w:eastAsia="Calibri"/>
                <w:sz w:val="20"/>
              </w:rPr>
              <w:t>RAN1 to decide whether to enhance interference mitigation through information exchange to support beam-management at the parent or child node in RAN1#104bis-e</w:t>
            </w:r>
          </w:p>
          <w:p w:rsidR="00D70E67" w:rsidRDefault="00C06BA2">
            <w:pPr>
              <w:pStyle w:val="af4"/>
              <w:numPr>
                <w:ilvl w:val="1"/>
                <w:numId w:val="11"/>
              </w:numPr>
              <w:spacing w:after="120"/>
              <w:textAlignment w:val="baseline"/>
              <w:rPr>
                <w:rFonts w:eastAsia="Calibri"/>
                <w:sz w:val="20"/>
                <w:szCs w:val="20"/>
              </w:rPr>
            </w:pPr>
            <w:r>
              <w:rPr>
                <w:rFonts w:eastAsia="Calibri"/>
                <w:sz w:val="20"/>
                <w:szCs w:val="20"/>
              </w:rPr>
              <w:t>FFS: reporting of</w:t>
            </w:r>
            <w:r>
              <w:rPr>
                <w:rFonts w:eastAsia="Calibri"/>
                <w:sz w:val="20"/>
                <w:szCs w:val="20"/>
              </w:rPr>
              <w:t xml:space="preserve"> desired beams for reception in DL or desired beams for transmission in UL by the IAB node for a given multiplexing mode</w:t>
            </w:r>
          </w:p>
          <w:p w:rsidR="00D70E67" w:rsidRDefault="00C06BA2">
            <w:pPr>
              <w:spacing w:before="120" w:after="120"/>
              <w:rPr>
                <w:rFonts w:eastAsia="Calibri"/>
                <w:sz w:val="20"/>
              </w:rPr>
            </w:pPr>
            <w:r>
              <w:rPr>
                <w:rFonts w:eastAsia="Calibri"/>
                <w:sz w:val="20"/>
              </w:rPr>
              <w:t>FFS: indicating applicable beams in DL or beams in UL for a given multiplexing mode.</w:t>
            </w:r>
          </w:p>
          <w:p w:rsidR="00D70E67" w:rsidRDefault="00C06BA2">
            <w:pPr>
              <w:spacing w:before="120" w:after="120"/>
              <w:rPr>
                <w:rFonts w:eastAsia="Calibri"/>
                <w:b/>
                <w:bCs/>
                <w:sz w:val="20"/>
              </w:rPr>
            </w:pPr>
            <w:r>
              <w:rPr>
                <w:rFonts w:eastAsia="Calibri" w:hint="eastAsia"/>
                <w:b/>
                <w:bCs/>
                <w:sz w:val="20"/>
              </w:rPr>
              <w:t>RAN1#105-e</w:t>
            </w:r>
          </w:p>
          <w:p w:rsidR="00D70E67" w:rsidRDefault="00C06BA2">
            <w:pPr>
              <w:spacing w:before="120" w:after="120"/>
              <w:rPr>
                <w:rFonts w:cs="Times"/>
                <w:b/>
                <w:bCs/>
                <w:highlight w:val="green"/>
              </w:rPr>
            </w:pPr>
            <w:r>
              <w:rPr>
                <w:rFonts w:cs="Times"/>
                <w:b/>
                <w:bCs/>
                <w:highlight w:val="green"/>
              </w:rPr>
              <w:t>Agreement</w:t>
            </w:r>
          </w:p>
          <w:p w:rsidR="00D70E67" w:rsidRDefault="00C06BA2">
            <w:pPr>
              <w:spacing w:before="120" w:after="120"/>
              <w:rPr>
                <w:rFonts w:cs="Times"/>
                <w:bCs/>
                <w:sz w:val="20"/>
              </w:rPr>
            </w:pPr>
            <w:r>
              <w:rPr>
                <w:rFonts w:cs="Times"/>
                <w:bCs/>
                <w:sz w:val="20"/>
              </w:rPr>
              <w:t>Rel-16 CLI coordination signa</w:t>
            </w:r>
            <w:r>
              <w:rPr>
                <w:rFonts w:cs="Times"/>
                <w:bCs/>
                <w:sz w:val="20"/>
              </w:rPr>
              <w:t>lling (Intended TDD DL-UL Configuration) is extended to support IAB specific UFD patterns.</w:t>
            </w:r>
          </w:p>
          <w:p w:rsidR="00D70E67" w:rsidRDefault="00C06BA2">
            <w:pPr>
              <w:spacing w:before="120" w:after="120"/>
              <w:rPr>
                <w:rFonts w:eastAsia="Calibri"/>
                <w:sz w:val="20"/>
              </w:rPr>
            </w:pPr>
            <w:r>
              <w:rPr>
                <w:rFonts w:cs="Times"/>
                <w:bCs/>
                <w:sz w:val="20"/>
              </w:rPr>
              <w:t>FFS: Support the exchange of IAB-DU H/S/NA resource configuration information among neighbouring IAB-nodes/IAB-donors for CLI management purposes</w:t>
            </w:r>
          </w:p>
        </w:tc>
      </w:tr>
    </w:tbl>
    <w:p w:rsidR="00D70E67" w:rsidRDefault="00C06BA2">
      <w:pPr>
        <w:widowControl w:val="0"/>
        <w:spacing w:before="120" w:after="120"/>
        <w:rPr>
          <w:sz w:val="20"/>
        </w:rPr>
      </w:pPr>
      <w:r>
        <w:rPr>
          <w:rFonts w:hint="eastAsia"/>
          <w:sz w:val="20"/>
        </w:rPr>
        <w:t xml:space="preserve">For CLI in IAB scenario, MT to MT </w:t>
      </w:r>
      <w:r>
        <w:rPr>
          <w:rFonts w:eastAsia="Calibri"/>
          <w:sz w:val="20"/>
        </w:rPr>
        <w:t>measurement and report</w:t>
      </w:r>
      <w:r>
        <w:rPr>
          <w:rFonts w:hint="eastAsia"/>
          <w:sz w:val="20"/>
        </w:rPr>
        <w:t xml:space="preserve"> and DU to DU </w:t>
      </w:r>
      <w:r>
        <w:rPr>
          <w:rFonts w:eastAsia="Calibri"/>
          <w:sz w:val="20"/>
        </w:rPr>
        <w:t>measurement and report</w:t>
      </w:r>
      <w:r>
        <w:rPr>
          <w:rFonts w:hint="eastAsia"/>
          <w:sz w:val="20"/>
        </w:rPr>
        <w:t xml:space="preserve"> are discussed in this section based on the summary and agreement in RAN1#104-e</w:t>
      </w:r>
      <w:r>
        <w:rPr>
          <w:rFonts w:hint="eastAsia"/>
          <w:sz w:val="20"/>
        </w:rPr>
        <w:t xml:space="preserve"> and RAN1#105-e meetings</w:t>
      </w:r>
      <w:r>
        <w:rPr>
          <w:rFonts w:hint="eastAsia"/>
          <w:sz w:val="20"/>
        </w:rPr>
        <w:t>.</w:t>
      </w:r>
    </w:p>
    <w:p w:rsidR="00D70E67" w:rsidRDefault="00C06BA2">
      <w:pPr>
        <w:widowControl w:val="0"/>
        <w:numPr>
          <w:ilvl w:val="255"/>
          <w:numId w:val="0"/>
        </w:numPr>
        <w:spacing w:before="120" w:after="120"/>
        <w:rPr>
          <w:b/>
          <w:i/>
          <w:sz w:val="20"/>
          <w:u w:val="single"/>
        </w:rPr>
      </w:pPr>
      <w:r>
        <w:rPr>
          <w:rFonts w:hint="eastAsia"/>
          <w:b/>
          <w:i/>
          <w:sz w:val="20"/>
          <w:u w:val="single"/>
        </w:rPr>
        <w:t xml:space="preserve">MT to MT CLI </w:t>
      </w:r>
      <w:r>
        <w:rPr>
          <w:rFonts w:hint="eastAsia"/>
          <w:b/>
          <w:i/>
          <w:sz w:val="20"/>
          <w:u w:val="single"/>
        </w:rPr>
        <w:t>measurement and report</w:t>
      </w:r>
    </w:p>
    <w:p w:rsidR="00D70E67" w:rsidRDefault="00C06BA2">
      <w:pPr>
        <w:widowControl w:val="0"/>
        <w:spacing w:before="120" w:after="120"/>
        <w:rPr>
          <w:sz w:val="20"/>
        </w:rPr>
      </w:pPr>
      <w:r>
        <w:rPr>
          <w:sz w:val="20"/>
        </w:rPr>
        <w:t>In R</w:t>
      </w:r>
      <w:r>
        <w:rPr>
          <w:rFonts w:hint="eastAsia"/>
          <w:sz w:val="20"/>
        </w:rPr>
        <w:t>el-</w:t>
      </w:r>
      <w:r>
        <w:rPr>
          <w:sz w:val="20"/>
        </w:rPr>
        <w:t xml:space="preserve">16, for CLI of UE to UE, high layer </w:t>
      </w:r>
      <w:r>
        <w:rPr>
          <w:rFonts w:hint="eastAsia"/>
          <w:sz w:val="20"/>
        </w:rPr>
        <w:t xml:space="preserve">has </w:t>
      </w:r>
      <w:r>
        <w:rPr>
          <w:sz w:val="20"/>
        </w:rPr>
        <w:t xml:space="preserve">defined CLI </w:t>
      </w:r>
      <w:r>
        <w:rPr>
          <w:rFonts w:hint="eastAsia"/>
          <w:sz w:val="20"/>
        </w:rPr>
        <w:t>r</w:t>
      </w:r>
      <w:r>
        <w:rPr>
          <w:sz w:val="20"/>
        </w:rPr>
        <w:t xml:space="preserve">esource by </w:t>
      </w:r>
      <w:r>
        <w:rPr>
          <w:i/>
          <w:iCs/>
          <w:sz w:val="20"/>
          <w:lang w:val="en-GB" w:eastAsia="en-GB"/>
        </w:rPr>
        <w:t>CLI-ResourceConfig-r16</w:t>
      </w:r>
      <w:r>
        <w:rPr>
          <w:sz w:val="20"/>
        </w:rPr>
        <w:t xml:space="preserve">, CLI measurement by </w:t>
      </w:r>
      <w:r>
        <w:rPr>
          <w:i/>
          <w:iCs/>
          <w:sz w:val="20"/>
          <w:lang w:val="en-GB" w:eastAsia="en-GB"/>
        </w:rPr>
        <w:t>MeasResultCLI-r16</w:t>
      </w:r>
      <w:r>
        <w:rPr>
          <w:sz w:val="20"/>
        </w:rPr>
        <w:t xml:space="preserve"> and CLI report by </w:t>
      </w:r>
      <w:r>
        <w:rPr>
          <w:i/>
          <w:iCs/>
          <w:sz w:val="20"/>
          <w:lang w:val="en-GB" w:eastAsia="en-GB"/>
        </w:rPr>
        <w:t>ReportConfigNR</w:t>
      </w:r>
      <w:r>
        <w:rPr>
          <w:rFonts w:hint="eastAsia"/>
          <w:sz w:val="20"/>
        </w:rPr>
        <w:t>.</w:t>
      </w:r>
      <w:r>
        <w:rPr>
          <w:sz w:val="20"/>
        </w:rPr>
        <w:t xml:space="preserve"> </w:t>
      </w:r>
      <w:r>
        <w:rPr>
          <w:rFonts w:hint="eastAsia"/>
          <w:sz w:val="20"/>
        </w:rPr>
        <w:t>For MT to MT CLI, an</w:t>
      </w:r>
      <w:r>
        <w:rPr>
          <w:rFonts w:hint="eastAsia"/>
          <w:sz w:val="20"/>
        </w:rPr>
        <w:t xml:space="preserve"> </w:t>
      </w:r>
      <w:r>
        <w:rPr>
          <w:sz w:val="20"/>
        </w:rPr>
        <w:t xml:space="preserve">IAB MT can be </w:t>
      </w:r>
      <w:r>
        <w:rPr>
          <w:rFonts w:hint="eastAsia"/>
          <w:sz w:val="20"/>
        </w:rPr>
        <w:t xml:space="preserve">regarded </w:t>
      </w:r>
      <w:r>
        <w:rPr>
          <w:sz w:val="20"/>
        </w:rPr>
        <w:t xml:space="preserve">as a UE, and the defined CLI procedure </w:t>
      </w:r>
      <w:r>
        <w:rPr>
          <w:rFonts w:hint="eastAsia"/>
          <w:sz w:val="20"/>
        </w:rPr>
        <w:t xml:space="preserve">in Rel-16 </w:t>
      </w:r>
      <w:r>
        <w:rPr>
          <w:sz w:val="20"/>
        </w:rPr>
        <w:t>can b</w:t>
      </w:r>
      <w:r>
        <w:rPr>
          <w:sz w:val="20"/>
        </w:rPr>
        <w:t xml:space="preserve">e reused for MT to MT </w:t>
      </w:r>
      <w:r>
        <w:rPr>
          <w:rFonts w:eastAsia="Calibri"/>
          <w:sz w:val="20"/>
        </w:rPr>
        <w:t>measurement and report</w:t>
      </w:r>
      <w:r>
        <w:rPr>
          <w:sz w:val="20"/>
        </w:rPr>
        <w:t>.</w:t>
      </w:r>
    </w:p>
    <w:p w:rsidR="00D70E67" w:rsidRDefault="00C06BA2">
      <w:pPr>
        <w:pStyle w:val="YJ-Proposal"/>
        <w:widowControl w:val="0"/>
        <w:spacing w:before="120" w:after="120"/>
        <w:rPr>
          <w:lang w:val="en-US" w:eastAsia="zh-CN"/>
        </w:rPr>
      </w:pPr>
      <w:bookmarkStart w:id="109" w:name="_Toc27490"/>
      <w:bookmarkStart w:id="110" w:name="_Toc4833"/>
      <w:bookmarkStart w:id="111" w:name="_Toc26722"/>
      <w:bookmarkStart w:id="112" w:name="_Toc14611"/>
      <w:bookmarkStart w:id="113" w:name="_Toc29886"/>
      <w:bookmarkStart w:id="114" w:name="_Toc29339"/>
      <w:bookmarkStart w:id="115" w:name="_Toc16903"/>
      <w:bookmarkStart w:id="116" w:name="_Toc13887"/>
      <w:bookmarkStart w:id="117" w:name="_Toc6151"/>
      <w:bookmarkStart w:id="118" w:name="_Toc27294"/>
      <w:bookmarkStart w:id="119" w:name="_Toc14949"/>
      <w:bookmarkStart w:id="120" w:name="_Toc13233"/>
      <w:bookmarkStart w:id="121" w:name="_Toc17102"/>
      <w:bookmarkStart w:id="122" w:name="_Toc22351"/>
      <w:bookmarkStart w:id="123" w:name="_Toc32323"/>
      <w:bookmarkStart w:id="124" w:name="_Toc22472"/>
      <w:bookmarkStart w:id="125" w:name="_Toc26699"/>
      <w:bookmarkStart w:id="126" w:name="_Toc12144"/>
      <w:bookmarkStart w:id="127" w:name="_Toc12064"/>
      <w:bookmarkStart w:id="128" w:name="_Toc32612"/>
      <w:bookmarkStart w:id="129" w:name="_Toc5987"/>
      <w:bookmarkStart w:id="130" w:name="_Toc71712016"/>
      <w:bookmarkStart w:id="131" w:name="_Toc12455"/>
      <w:bookmarkStart w:id="132" w:name="_Toc23942"/>
      <w:bookmarkStart w:id="133" w:name="_Toc79225788"/>
      <w:r>
        <w:rPr>
          <w:lang w:val="en-US" w:eastAsia="zh-CN"/>
        </w:rPr>
        <w:t>L</w:t>
      </w:r>
      <w:r>
        <w:rPr>
          <w:rFonts w:hint="eastAsia"/>
          <w:lang w:val="en-US" w:eastAsia="zh-CN"/>
        </w:rPr>
        <w:t>egacy UE to UE CLI procedure can be reused for MT to MT CLI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Pr>
          <w:rFonts w:hint="eastAsia"/>
          <w:lang w:val="en-US" w:eastAsia="zh-CN"/>
        </w:rPr>
        <w:t>.</w:t>
      </w:r>
      <w:bookmarkEnd w:id="130"/>
      <w:bookmarkEnd w:id="131"/>
      <w:bookmarkEnd w:id="132"/>
      <w:bookmarkEnd w:id="133"/>
    </w:p>
    <w:p w:rsidR="00D70E67" w:rsidRDefault="00D70E67">
      <w:pPr>
        <w:widowControl w:val="0"/>
        <w:spacing w:before="120" w:after="120"/>
        <w:rPr>
          <w:rFonts w:eastAsia="MS Mincho"/>
          <w:i/>
        </w:rPr>
      </w:pPr>
    </w:p>
    <w:p w:rsidR="00D70E67" w:rsidRDefault="00C06BA2">
      <w:pPr>
        <w:widowControl w:val="0"/>
        <w:numPr>
          <w:ilvl w:val="255"/>
          <w:numId w:val="0"/>
        </w:numPr>
        <w:spacing w:before="120" w:after="120"/>
        <w:rPr>
          <w:b/>
          <w:i/>
          <w:sz w:val="20"/>
          <w:u w:val="single"/>
        </w:rPr>
      </w:pPr>
      <w:r>
        <w:rPr>
          <w:rFonts w:hint="eastAsia"/>
          <w:b/>
          <w:i/>
          <w:sz w:val="20"/>
          <w:u w:val="single"/>
        </w:rPr>
        <w:t>DU to DU CLI measurement</w:t>
      </w:r>
      <w:r>
        <w:rPr>
          <w:rFonts w:hint="eastAsia"/>
          <w:b/>
          <w:i/>
          <w:sz w:val="20"/>
          <w:u w:val="single"/>
        </w:rPr>
        <w:t xml:space="preserve"> and report</w:t>
      </w:r>
    </w:p>
    <w:p w:rsidR="00D70E67" w:rsidRDefault="00C06BA2">
      <w:pPr>
        <w:widowControl w:val="0"/>
        <w:spacing w:before="120" w:after="120"/>
        <w:rPr>
          <w:sz w:val="20"/>
        </w:rPr>
      </w:pPr>
      <w:r>
        <w:rPr>
          <w:rFonts w:hint="eastAsia"/>
          <w:sz w:val="20"/>
        </w:rPr>
        <w:t>In RAN1#104-e, three options are discussed for DU to DU measurement and report respectively.</w:t>
      </w:r>
    </w:p>
    <w:p w:rsidR="00D70E67" w:rsidRDefault="00C06BA2">
      <w:pPr>
        <w:widowControl w:val="0"/>
        <w:spacing w:before="120" w:after="120"/>
        <w:rPr>
          <w:sz w:val="20"/>
        </w:rPr>
      </w:pPr>
      <w:r>
        <w:rPr>
          <w:rFonts w:hint="eastAsia"/>
          <w:sz w:val="20"/>
        </w:rPr>
        <w:t>Option 1.1 and 2.1</w:t>
      </w:r>
      <w:r>
        <w:rPr>
          <w:rFonts w:hint="eastAsia"/>
          <w:sz w:val="20"/>
        </w:rPr>
        <w:t xml:space="preserve"> is the simplest option without any enhancement from specification respective,</w:t>
      </w:r>
      <w:r>
        <w:rPr>
          <w:sz w:val="20"/>
        </w:rPr>
        <w:t xml:space="preserve"> it </w:t>
      </w:r>
      <w:r>
        <w:rPr>
          <w:rFonts w:hint="eastAsia"/>
          <w:sz w:val="20"/>
        </w:rPr>
        <w:t>means legacy DU implementation method</w:t>
      </w:r>
      <w:r>
        <w:rPr>
          <w:rFonts w:eastAsia="Calibri"/>
          <w:sz w:val="20"/>
        </w:rPr>
        <w:t xml:space="preserve"> </w:t>
      </w:r>
      <w:r>
        <w:rPr>
          <w:rFonts w:hint="eastAsia"/>
          <w:sz w:val="20"/>
        </w:rPr>
        <w:t>is reused. So in this section we mainly analyzes whether it is beneficial to adopt an enhanced option other than option1.1.</w:t>
      </w:r>
    </w:p>
    <w:p w:rsidR="00D70E67" w:rsidRDefault="00C06BA2">
      <w:pPr>
        <w:widowControl w:val="0"/>
        <w:spacing w:before="120" w:after="120"/>
        <w:rPr>
          <w:sz w:val="20"/>
        </w:rPr>
      </w:pPr>
      <w:r>
        <w:rPr>
          <w:sz w:val="20"/>
        </w:rPr>
        <w:t>For option1.</w:t>
      </w:r>
      <w:r>
        <w:rPr>
          <w:sz w:val="20"/>
        </w:rPr>
        <w:t>2 and 2.2, it is proposed whether enhanced R16 RIM can be used</w:t>
      </w:r>
      <w:r>
        <w:rPr>
          <w:rFonts w:hint="eastAsia"/>
          <w:sz w:val="20"/>
        </w:rPr>
        <w:t xml:space="preserve"> for IAB DU to DU CLI</w:t>
      </w:r>
      <w:r>
        <w:rPr>
          <w:sz w:val="20"/>
        </w:rPr>
        <w:t xml:space="preserve">, R16 RIM procedure are specified to deal with the remote interference measurement and coordination. The victim gNB will begin the RIM procedure after detecting a </w:t>
      </w:r>
      <w:r>
        <w:rPr>
          <w:sz w:val="20"/>
          <w:lang w:val="en"/>
        </w:rPr>
        <w:t xml:space="preserve">"sloping" </w:t>
      </w:r>
      <w:r>
        <w:rPr>
          <w:sz w:val="20"/>
          <w:lang w:val="en"/>
        </w:rPr>
        <w:t>characteristic</w:t>
      </w:r>
      <w:r>
        <w:rPr>
          <w:sz w:val="20"/>
        </w:rPr>
        <w:t xml:space="preserve"> of IOT, which is caused by the </w:t>
      </w:r>
      <w:r>
        <w:rPr>
          <w:sz w:val="20"/>
          <w:lang w:val="en"/>
        </w:rPr>
        <w:t>atmospheric ducting phenomenon</w:t>
      </w:r>
      <w:r>
        <w:rPr>
          <w:rFonts w:hint="eastAsia"/>
          <w:sz w:val="20"/>
        </w:rPr>
        <w:t>.</w:t>
      </w:r>
    </w:p>
    <w:p w:rsidR="00D70E67" w:rsidRDefault="00C06BA2">
      <w:pPr>
        <w:widowControl w:val="0"/>
        <w:spacing w:before="120" w:after="120"/>
        <w:rPr>
          <w:sz w:val="20"/>
        </w:rPr>
      </w:pPr>
      <w:r>
        <w:rPr>
          <w:sz w:val="20"/>
        </w:rPr>
        <w:t xml:space="preserve">As can be seen, legacy RIM method is hard to reuse for IAB DU to DU CLI. For one thing, in RIM procedure, the interference are remote where </w:t>
      </w:r>
      <w:r>
        <w:rPr>
          <w:sz w:val="20"/>
          <w:lang w:val="en"/>
        </w:rPr>
        <w:t>distance between the victim and aggres</w:t>
      </w:r>
      <w:r>
        <w:rPr>
          <w:sz w:val="20"/>
          <w:lang w:val="en"/>
        </w:rPr>
        <w:t>sor ranges from 64 km to 400 km</w:t>
      </w:r>
      <w:r>
        <w:rPr>
          <w:sz w:val="20"/>
        </w:rPr>
        <w:t>, so that the triggering mechanism “</w:t>
      </w:r>
      <w:r>
        <w:rPr>
          <w:sz w:val="20"/>
          <w:lang w:val="en"/>
        </w:rPr>
        <w:t>a</w:t>
      </w:r>
      <w:r>
        <w:rPr>
          <w:sz w:val="20"/>
        </w:rPr>
        <w:t xml:space="preserve"> </w:t>
      </w:r>
      <w:r>
        <w:rPr>
          <w:sz w:val="20"/>
          <w:lang w:val="en"/>
        </w:rPr>
        <w:t>sloping characteristic</w:t>
      </w:r>
      <w:r>
        <w:rPr>
          <w:sz w:val="20"/>
        </w:rPr>
        <w:t xml:space="preserve"> of IOT” can work in RIM scenario while it may not work in IAB scenario. For another thing, the measurement result from DU in RIM method are usually reported to OAM </w:t>
      </w:r>
      <w:r>
        <w:rPr>
          <w:sz w:val="20"/>
        </w:rPr>
        <w:t>which will take a long time, this may not be appropriate for IAB.</w:t>
      </w:r>
    </w:p>
    <w:p w:rsidR="00D70E67" w:rsidRDefault="00C06BA2">
      <w:pPr>
        <w:widowControl w:val="0"/>
        <w:spacing w:before="120" w:after="120"/>
        <w:rPr>
          <w:sz w:val="20"/>
        </w:rPr>
      </w:pPr>
      <w:r>
        <w:rPr>
          <w:sz w:val="20"/>
        </w:rPr>
        <w:t>To reuse the R16 RIM method</w:t>
      </w:r>
      <w:r>
        <w:rPr>
          <w:rFonts w:hint="eastAsia"/>
          <w:sz w:val="20"/>
        </w:rPr>
        <w:t xml:space="preserve"> for DU to DU measurement and report in IAB scenario</w:t>
      </w:r>
      <w:r>
        <w:rPr>
          <w:sz w:val="20"/>
        </w:rPr>
        <w:t>, enhancement of the triggering mechanism and the report procedure need to be considered.</w:t>
      </w:r>
      <w:r>
        <w:rPr>
          <w:rFonts w:hint="eastAsia"/>
          <w:sz w:val="20"/>
        </w:rPr>
        <w:t xml:space="preserve"> It should be noted that for remote interference for IAB DU measurement and report, legacy RIM can</w:t>
      </w:r>
      <w:r>
        <w:rPr>
          <w:sz w:val="20"/>
        </w:rPr>
        <w:t xml:space="preserve"> </w:t>
      </w:r>
      <w:r>
        <w:rPr>
          <w:rFonts w:hint="eastAsia"/>
          <w:sz w:val="20"/>
        </w:rPr>
        <w:t>still be reused.</w:t>
      </w:r>
    </w:p>
    <w:p w:rsidR="00D70E67" w:rsidRDefault="00C06BA2">
      <w:pPr>
        <w:widowControl w:val="0"/>
        <w:spacing w:before="120" w:after="120"/>
        <w:rPr>
          <w:sz w:val="20"/>
        </w:rPr>
      </w:pPr>
      <w:r>
        <w:rPr>
          <w:sz w:val="20"/>
        </w:rPr>
        <w:t>For option 1.3 and 2.3, it may be the most difficult option to apply. Although MT and DU are co-located, but they may not have the same ante</w:t>
      </w:r>
      <w:r>
        <w:rPr>
          <w:sz w:val="20"/>
        </w:rPr>
        <w:t xml:space="preserve">nna and beam capability, the measurement at MT side and DU side can differ widely. It is hard to </w:t>
      </w:r>
      <w:hyperlink r:id="rId9" w:tgtFrame="https://www.baidu.com/_blank" w:history="1">
        <w:r>
          <w:rPr>
            <w:sz w:val="20"/>
          </w:rPr>
          <w:t>estimate</w:t>
        </w:r>
      </w:hyperlink>
      <w:r>
        <w:rPr>
          <w:sz w:val="20"/>
        </w:rPr>
        <w:t xml:space="preserve"> the accuracy if DU side measurement is instead of co- located MT side measurement, accordingly the MT based measurement report need to be justified further.</w:t>
      </w:r>
    </w:p>
    <w:p w:rsidR="00D70E67" w:rsidRDefault="00C06BA2">
      <w:pPr>
        <w:widowControl w:val="0"/>
        <w:spacing w:before="120" w:after="120"/>
        <w:rPr>
          <w:sz w:val="20"/>
        </w:rPr>
      </w:pPr>
      <w:r>
        <w:rPr>
          <w:rFonts w:hint="eastAsia"/>
          <w:sz w:val="20"/>
        </w:rPr>
        <w:t>From the analysis above, it can be seen benefit of other opti</w:t>
      </w:r>
      <w:r>
        <w:rPr>
          <w:rFonts w:hint="eastAsia"/>
          <w:sz w:val="20"/>
        </w:rPr>
        <w:t>ons other than 1.1 and 2.1 is not so obvious, so for DU to DU CLI measurement, option 1.1 is preferred, for DU CLI report, option 2.1 is preferred.</w:t>
      </w:r>
    </w:p>
    <w:p w:rsidR="00D70E67" w:rsidRDefault="00C06BA2">
      <w:pPr>
        <w:pStyle w:val="YJ-Proposal"/>
        <w:widowControl w:val="0"/>
        <w:spacing w:before="120" w:after="120"/>
        <w:rPr>
          <w:lang w:val="en-US" w:eastAsia="zh-CN"/>
        </w:rPr>
      </w:pPr>
      <w:bookmarkStart w:id="134" w:name="_Toc19476"/>
      <w:bookmarkStart w:id="135" w:name="_Toc3956"/>
      <w:bookmarkStart w:id="136" w:name="_Toc8921"/>
      <w:bookmarkStart w:id="137" w:name="_Toc8764"/>
      <w:bookmarkStart w:id="138" w:name="_Toc14159"/>
      <w:bookmarkStart w:id="139" w:name="_Toc849"/>
      <w:bookmarkStart w:id="140" w:name="_Toc28058"/>
      <w:bookmarkStart w:id="141" w:name="_Toc22568"/>
      <w:bookmarkStart w:id="142" w:name="_Toc120"/>
      <w:bookmarkStart w:id="143" w:name="_Toc21937"/>
      <w:bookmarkStart w:id="144" w:name="_Toc21276"/>
      <w:bookmarkStart w:id="145" w:name="_Toc4418"/>
      <w:bookmarkStart w:id="146" w:name="_Toc14080"/>
      <w:bookmarkStart w:id="147" w:name="_Toc10700"/>
      <w:bookmarkStart w:id="148" w:name="_Toc26632"/>
      <w:bookmarkStart w:id="149" w:name="_Toc21409"/>
      <w:bookmarkStart w:id="150" w:name="_Toc6082"/>
      <w:bookmarkStart w:id="151" w:name="_Toc31023"/>
      <w:bookmarkStart w:id="152" w:name="_Toc27228"/>
      <w:bookmarkStart w:id="153" w:name="_Toc25100"/>
      <w:bookmarkStart w:id="154" w:name="_Toc16931"/>
      <w:bookmarkStart w:id="155" w:name="_Toc16649"/>
      <w:bookmarkStart w:id="156" w:name="_Toc22418"/>
      <w:bookmarkStart w:id="157" w:name="_Toc71712017"/>
      <w:bookmarkStart w:id="158" w:name="_Toc79225789"/>
      <w:r>
        <w:rPr>
          <w:rFonts w:hint="eastAsia"/>
          <w:lang w:val="en-US" w:eastAsia="zh-CN"/>
        </w:rPr>
        <w:t>DU to DU CLI measurement and report are left to DU implementation</w:t>
      </w:r>
      <w:r>
        <w:rPr>
          <w:lang w:val="en-US" w:eastAsia="zh-CN"/>
        </w:rPr>
        <w:t xml:space="preserve"> </w:t>
      </w:r>
      <w:r>
        <w:rPr>
          <w:rFonts w:hint="eastAsia"/>
          <w:lang w:val="en-US" w:eastAsia="zh-CN"/>
        </w:rPr>
        <w:t>(excluding the remote interference measure</w:t>
      </w:r>
      <w:r>
        <w:rPr>
          <w:rFonts w:hint="eastAsia"/>
          <w:lang w:val="en-US" w:eastAsia="zh-CN"/>
        </w:rPr>
        <w:t>ment and report)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rFonts w:hint="eastAsia"/>
          <w:lang w:val="en-US" w:eastAsia="zh-CN"/>
        </w:rPr>
        <w:t>.</w:t>
      </w:r>
      <w:bookmarkEnd w:id="155"/>
      <w:bookmarkEnd w:id="156"/>
      <w:bookmarkEnd w:id="157"/>
      <w:bookmarkEnd w:id="158"/>
    </w:p>
    <w:p w:rsidR="00D70E67" w:rsidRDefault="00D70E67">
      <w:pPr>
        <w:widowControl w:val="0"/>
        <w:spacing w:before="120" w:after="120"/>
      </w:pPr>
    </w:p>
    <w:p w:rsidR="00D70E67" w:rsidRDefault="00C06BA2">
      <w:pPr>
        <w:widowControl w:val="0"/>
        <w:numPr>
          <w:ilvl w:val="255"/>
          <w:numId w:val="0"/>
        </w:numPr>
        <w:spacing w:before="120" w:after="120"/>
        <w:rPr>
          <w:b/>
          <w:i/>
          <w:sz w:val="20"/>
          <w:u w:val="single"/>
        </w:rPr>
      </w:pPr>
      <w:r>
        <w:rPr>
          <w:rFonts w:hint="eastAsia"/>
          <w:b/>
          <w:i/>
          <w:sz w:val="20"/>
          <w:u w:val="single"/>
        </w:rPr>
        <w:t>I</w:t>
      </w:r>
      <w:r>
        <w:rPr>
          <w:rFonts w:hint="eastAsia"/>
          <w:b/>
          <w:i/>
          <w:sz w:val="20"/>
          <w:u w:val="single"/>
        </w:rPr>
        <w:t>nterference mitigation</w:t>
      </w:r>
      <w:r>
        <w:rPr>
          <w:rFonts w:hint="eastAsia"/>
          <w:b/>
          <w:i/>
          <w:sz w:val="20"/>
          <w:u w:val="single"/>
        </w:rPr>
        <w:t xml:space="preserve"> </w:t>
      </w:r>
    </w:p>
    <w:p w:rsidR="00D70E67" w:rsidRDefault="00C06BA2">
      <w:pPr>
        <w:widowControl w:val="0"/>
        <w:spacing w:before="120" w:after="120"/>
        <w:rPr>
          <w:sz w:val="20"/>
        </w:rPr>
      </w:pPr>
      <w:r>
        <w:rPr>
          <w:sz w:val="20"/>
        </w:rPr>
        <w:t>For a given multiplexing mode,</w:t>
      </w:r>
      <w:r>
        <w:rPr>
          <w:rFonts w:hint="eastAsia"/>
          <w:sz w:val="20"/>
        </w:rPr>
        <w:t xml:space="preserve"> </w:t>
      </w:r>
      <w:r>
        <w:rPr>
          <w:sz w:val="20"/>
        </w:rPr>
        <w:t xml:space="preserve">to alleviate or </w:t>
      </w:r>
      <w:r>
        <w:rPr>
          <w:rFonts w:eastAsia="Calibri"/>
          <w:sz w:val="20"/>
        </w:rPr>
        <w:t>mitigat</w:t>
      </w:r>
      <w:r>
        <w:rPr>
          <w:sz w:val="20"/>
        </w:rPr>
        <w:t>e the interference</w:t>
      </w:r>
      <w:r>
        <w:rPr>
          <w:rFonts w:hint="eastAsia"/>
          <w:sz w:val="20"/>
        </w:rPr>
        <w:t>,</w:t>
      </w:r>
      <w:r>
        <w:rPr>
          <w:sz w:val="20"/>
        </w:rPr>
        <w:t xml:space="preserve"> beam information coordination between backhaul link and access link </w:t>
      </w:r>
      <w:r>
        <w:rPr>
          <w:rFonts w:hint="eastAsia"/>
          <w:sz w:val="20"/>
        </w:rPr>
        <w:t>is necessary</w:t>
      </w:r>
      <w:r>
        <w:rPr>
          <w:sz w:val="20"/>
        </w:rPr>
        <w:t xml:space="preserve">, </w:t>
      </w:r>
      <w:r>
        <w:rPr>
          <w:rFonts w:hint="eastAsia"/>
          <w:sz w:val="20"/>
        </w:rPr>
        <w:t>I</w:t>
      </w:r>
      <w:r>
        <w:rPr>
          <w:sz w:val="20"/>
        </w:rPr>
        <w:t>n this section</w:t>
      </w:r>
      <w:r>
        <w:rPr>
          <w:rFonts w:hint="eastAsia"/>
          <w:sz w:val="20"/>
        </w:rPr>
        <w:t>,</w:t>
      </w:r>
      <w:r>
        <w:rPr>
          <w:sz w:val="20"/>
        </w:rPr>
        <w:t xml:space="preserve"> simultaneously Tx and simultaneously Rx</w:t>
      </w:r>
      <w:r>
        <w:rPr>
          <w:sz w:val="20"/>
        </w:rPr>
        <w:t xml:space="preserve"> are </w:t>
      </w:r>
      <w:r>
        <w:rPr>
          <w:rFonts w:hint="eastAsia"/>
          <w:sz w:val="20"/>
        </w:rPr>
        <w:t xml:space="preserve">the </w:t>
      </w:r>
      <w:r>
        <w:rPr>
          <w:sz w:val="20"/>
        </w:rPr>
        <w:t xml:space="preserve">mainly </w:t>
      </w:r>
      <w:r>
        <w:rPr>
          <w:rFonts w:hint="eastAsia"/>
          <w:sz w:val="20"/>
        </w:rPr>
        <w:t xml:space="preserve">scenario to be </w:t>
      </w:r>
      <w:r>
        <w:rPr>
          <w:sz w:val="20"/>
        </w:rPr>
        <w:t>discussed.</w:t>
      </w:r>
    </w:p>
    <w:p w:rsidR="00D70E67" w:rsidRDefault="00C06BA2">
      <w:pPr>
        <w:widowControl w:val="0"/>
        <w:spacing w:before="120" w:after="120"/>
        <w:rPr>
          <w:sz w:val="20"/>
        </w:rPr>
      </w:pPr>
      <w:r>
        <w:rPr>
          <w:sz w:val="20"/>
        </w:rPr>
        <w:t>After beam measurement, IAB node can report its desired beams in DL and UL to parent node</w:t>
      </w:r>
      <w:r>
        <w:rPr>
          <w:rFonts w:hint="eastAsia"/>
          <w:sz w:val="20"/>
        </w:rPr>
        <w:t xml:space="preserve">. Taking </w:t>
      </w:r>
      <w:r>
        <w:rPr>
          <w:sz w:val="20"/>
        </w:rPr>
        <w:t>the reported information</w:t>
      </w:r>
      <w:r>
        <w:rPr>
          <w:rFonts w:hint="eastAsia"/>
          <w:sz w:val="20"/>
        </w:rPr>
        <w:t xml:space="preserve"> into account</w:t>
      </w:r>
      <w:r>
        <w:rPr>
          <w:sz w:val="20"/>
        </w:rPr>
        <w:t xml:space="preserve">, parent node will indicate the </w:t>
      </w:r>
      <w:r>
        <w:rPr>
          <w:rFonts w:hint="eastAsia"/>
          <w:sz w:val="20"/>
        </w:rPr>
        <w:t xml:space="preserve">IAB MT </w:t>
      </w:r>
      <w:r>
        <w:rPr>
          <w:sz w:val="20"/>
        </w:rPr>
        <w:t>applicable beams in UL or DL using a DCI</w:t>
      </w:r>
      <w:r>
        <w:rPr>
          <w:sz w:val="20"/>
        </w:rPr>
        <w:t xml:space="preserve"> 2_0/DCI2_5 like signal during a period, and further IAB DU can accommodate its DU beams by implementation, in order to alleviate or </w:t>
      </w:r>
      <w:r>
        <w:rPr>
          <w:rFonts w:eastAsia="Calibri"/>
          <w:sz w:val="20"/>
        </w:rPr>
        <w:t>mitigat</w:t>
      </w:r>
      <w:r>
        <w:rPr>
          <w:sz w:val="20"/>
        </w:rPr>
        <w:t xml:space="preserve">e the interference between backhaul link and access link, IAB node is not expected that the beam indication (TCI or </w:t>
      </w:r>
      <w:r>
        <w:rPr>
          <w:sz w:val="20"/>
        </w:rPr>
        <w:t>SRI) in legacy DCI is not consistent with the DCI 2_0/DCI2_5 like beam applicable DCI.</w:t>
      </w:r>
    </w:p>
    <w:p w:rsidR="00D70E67" w:rsidRDefault="00C06BA2">
      <w:pPr>
        <w:pStyle w:val="YJ-Proposal"/>
        <w:widowControl w:val="0"/>
        <w:spacing w:before="120" w:after="120"/>
        <w:rPr>
          <w:lang w:val="en-US" w:eastAsia="zh-CN"/>
        </w:rPr>
      </w:pPr>
      <w:bookmarkStart w:id="159" w:name="_Toc27834"/>
      <w:bookmarkStart w:id="160" w:name="_Toc11016"/>
      <w:bookmarkStart w:id="161" w:name="_Toc71712018"/>
      <w:bookmarkStart w:id="162" w:name="_Toc8221"/>
      <w:bookmarkStart w:id="163" w:name="_Toc2282"/>
      <w:bookmarkStart w:id="164" w:name="_Toc28416"/>
      <w:bookmarkStart w:id="165" w:name="_Toc29958"/>
      <w:bookmarkStart w:id="166" w:name="_Toc9360"/>
      <w:bookmarkStart w:id="167" w:name="_Toc3673"/>
      <w:bookmarkStart w:id="168" w:name="_Toc29800"/>
      <w:bookmarkStart w:id="169" w:name="_Toc464"/>
      <w:bookmarkStart w:id="170" w:name="_Toc23358"/>
      <w:bookmarkStart w:id="171" w:name="_Toc28332"/>
      <w:bookmarkStart w:id="172" w:name="_Toc14398"/>
      <w:bookmarkStart w:id="173" w:name="_Toc24773"/>
      <w:bookmarkStart w:id="174" w:name="_Toc30164"/>
      <w:bookmarkStart w:id="175" w:name="_Toc7616"/>
      <w:bookmarkStart w:id="176" w:name="_Toc17993"/>
      <w:bookmarkStart w:id="177" w:name="_Toc9805"/>
      <w:bookmarkStart w:id="178" w:name="_Toc30525"/>
      <w:bookmarkStart w:id="179" w:name="_Toc28431"/>
      <w:bookmarkStart w:id="180" w:name="_Toc14413"/>
      <w:bookmarkStart w:id="181" w:name="_Toc27692"/>
      <w:bookmarkStart w:id="182" w:name="_Toc1284"/>
      <w:bookmarkStart w:id="183" w:name="_Toc79225790"/>
      <w:r>
        <w:rPr>
          <w:rFonts w:hint="eastAsia"/>
          <w:lang w:val="en-US" w:eastAsia="zh-CN"/>
        </w:rPr>
        <w:t>DCI 2_0/DCI2_5 like beam applicable DCI is used to indicate the IAB MT applicable beams in a set of slots.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D70E67" w:rsidRDefault="00C06BA2">
      <w:pPr>
        <w:spacing w:before="120" w:after="120"/>
        <w:rPr>
          <w:sz w:val="20"/>
        </w:rPr>
      </w:pPr>
      <w:r>
        <w:rPr>
          <w:sz w:val="20"/>
        </w:rPr>
        <w:t xml:space="preserve">For CLI coordination, some </w:t>
      </w:r>
      <w:r>
        <w:rPr>
          <w:rFonts w:hint="eastAsia"/>
          <w:sz w:val="20"/>
        </w:rPr>
        <w:t xml:space="preserve">companies </w:t>
      </w:r>
      <w:r>
        <w:rPr>
          <w:sz w:val="20"/>
        </w:rPr>
        <w:t xml:space="preserve">have concerns on the </w:t>
      </w:r>
      <w:r>
        <w:rPr>
          <w:rFonts w:hint="eastAsia"/>
          <w:sz w:val="20"/>
        </w:rPr>
        <w:t>benefit</w:t>
      </w:r>
      <w:r>
        <w:rPr>
          <w:sz w:val="20"/>
        </w:rPr>
        <w:t xml:space="preserve"> of </w:t>
      </w:r>
      <w:r>
        <w:rPr>
          <w:sz w:val="20"/>
        </w:rPr>
        <w:t>exchang</w:t>
      </w:r>
      <w:r>
        <w:rPr>
          <w:sz w:val="20"/>
        </w:rPr>
        <w:t xml:space="preserve">ing </w:t>
      </w:r>
      <w:r>
        <w:rPr>
          <w:sz w:val="20"/>
        </w:rPr>
        <w:t>of IAB-DU H/S/NA resource configuration information among neighbouring IAB-nodes/IAB-donors</w:t>
      </w:r>
      <w:r>
        <w:rPr>
          <w:rFonts w:hint="eastAsia"/>
          <w:sz w:val="20"/>
        </w:rPr>
        <w:t>.</w:t>
      </w:r>
      <w:r>
        <w:rPr>
          <w:sz w:val="20"/>
        </w:rPr>
        <w:t xml:space="preserve"> </w:t>
      </w:r>
      <w:r>
        <w:rPr>
          <w:rFonts w:hint="eastAsia"/>
          <w:sz w:val="20"/>
        </w:rPr>
        <w:t>E</w:t>
      </w:r>
      <w:r>
        <w:rPr>
          <w:sz w:val="20"/>
        </w:rPr>
        <w:t>xchang</w:t>
      </w:r>
      <w:r>
        <w:rPr>
          <w:sz w:val="20"/>
        </w:rPr>
        <w:t xml:space="preserve">ing </w:t>
      </w:r>
      <w:r>
        <w:rPr>
          <w:rFonts w:hint="eastAsia"/>
          <w:sz w:val="20"/>
        </w:rPr>
        <w:t>this kind information can let the</w:t>
      </w:r>
      <w:r>
        <w:rPr>
          <w:sz w:val="20"/>
        </w:rPr>
        <w:t xml:space="preserve"> NA resource of </w:t>
      </w:r>
      <w:r>
        <w:rPr>
          <w:sz w:val="20"/>
        </w:rPr>
        <w:t>neighbouring</w:t>
      </w:r>
      <w:r>
        <w:rPr>
          <w:sz w:val="20"/>
        </w:rPr>
        <w:t xml:space="preserve"> IAB nodes </w:t>
      </w:r>
      <w:r>
        <w:rPr>
          <w:rFonts w:hint="eastAsia"/>
          <w:sz w:val="20"/>
        </w:rPr>
        <w:t>be</w:t>
      </w:r>
      <w:r>
        <w:rPr>
          <w:sz w:val="20"/>
        </w:rPr>
        <w:t xml:space="preserve"> known</w:t>
      </w:r>
      <w:r>
        <w:rPr>
          <w:rFonts w:hint="eastAsia"/>
          <w:sz w:val="20"/>
        </w:rPr>
        <w:t xml:space="preserve"> and is </w:t>
      </w:r>
      <w:r>
        <w:rPr>
          <w:sz w:val="20"/>
        </w:rPr>
        <w:t>helpful for CLI mitigation</w:t>
      </w:r>
      <w:r>
        <w:rPr>
          <w:rFonts w:hint="eastAsia"/>
          <w:sz w:val="20"/>
        </w:rPr>
        <w:t>.</w:t>
      </w:r>
      <w:r>
        <w:rPr>
          <w:sz w:val="20"/>
        </w:rPr>
        <w:t xml:space="preserve"> </w:t>
      </w:r>
      <w:r>
        <w:rPr>
          <w:rFonts w:hint="eastAsia"/>
          <w:sz w:val="20"/>
        </w:rPr>
        <w:t>Considering th</w:t>
      </w:r>
      <w:r>
        <w:rPr>
          <w:rFonts w:hint="eastAsia"/>
          <w:sz w:val="20"/>
        </w:rPr>
        <w:t xml:space="preserve">e </w:t>
      </w:r>
      <w:r>
        <w:rPr>
          <w:sz w:val="20"/>
        </w:rPr>
        <w:t>signaling overhead, it should be noted that e</w:t>
      </w:r>
      <w:r>
        <w:rPr>
          <w:sz w:val="20"/>
        </w:rPr>
        <w:t>xchanging H/S/NA configurations between parent nodes/donors</w:t>
      </w:r>
      <w:r>
        <w:rPr>
          <w:sz w:val="20"/>
        </w:rPr>
        <w:t xml:space="preserve"> has been agreed for DC, and extend this </w:t>
      </w:r>
      <w:r>
        <w:rPr>
          <w:sz w:val="20"/>
        </w:rPr>
        <w:t>e</w:t>
      </w:r>
      <w:r>
        <w:rPr>
          <w:sz w:val="20"/>
        </w:rPr>
        <w:t xml:space="preserve">xchanging </w:t>
      </w:r>
      <w:r>
        <w:rPr>
          <w:sz w:val="20"/>
        </w:rPr>
        <w:t xml:space="preserve">to more </w:t>
      </w:r>
      <w:r>
        <w:rPr>
          <w:sz w:val="20"/>
        </w:rPr>
        <w:t>neighbouring IAB-nodes/IAB-donors</w:t>
      </w:r>
      <w:r>
        <w:rPr>
          <w:sz w:val="20"/>
        </w:rPr>
        <w:t xml:space="preserve"> seems eas</w:t>
      </w:r>
      <w:r>
        <w:rPr>
          <w:rFonts w:hint="eastAsia"/>
          <w:sz w:val="20"/>
        </w:rPr>
        <w:t>y</w:t>
      </w:r>
      <w:r>
        <w:rPr>
          <w:sz w:val="20"/>
        </w:rPr>
        <w:t xml:space="preserve"> if assuming the signaling overhead in high la</w:t>
      </w:r>
      <w:r>
        <w:rPr>
          <w:sz w:val="20"/>
        </w:rPr>
        <w:t>yer is not so sensitive than physical layer.</w:t>
      </w:r>
    </w:p>
    <w:p w:rsidR="00D70E67" w:rsidRDefault="00C06BA2">
      <w:pPr>
        <w:pStyle w:val="YJ-Proposal"/>
        <w:widowControl w:val="0"/>
        <w:spacing w:before="120" w:after="120"/>
        <w:rPr>
          <w:bCs w:val="0"/>
          <w:lang w:val="en-US" w:eastAsia="zh-CN"/>
        </w:rPr>
      </w:pPr>
      <w:bookmarkStart w:id="184" w:name="_Toc18819"/>
      <w:bookmarkStart w:id="185" w:name="_Toc79225791"/>
      <w:r>
        <w:rPr>
          <w:rFonts w:hint="eastAsia"/>
          <w:bCs w:val="0"/>
          <w:lang w:val="en-US" w:eastAsia="zh-CN"/>
        </w:rPr>
        <w:t xml:space="preserve">For CLI </w:t>
      </w:r>
      <w:r>
        <w:rPr>
          <w:rFonts w:hint="eastAsia"/>
          <w:lang w:val="en-US" w:eastAsia="zh-CN"/>
        </w:rPr>
        <w:t>management, exchanging of IAB-DU H/S/NA resource configuration information among neighbouring IAB nodes/IAB-donors can be supported</w:t>
      </w:r>
      <w:bookmarkEnd w:id="184"/>
      <w:r>
        <w:rPr>
          <w:rFonts w:hint="eastAsia"/>
          <w:lang w:val="en-US" w:eastAsia="zh-CN"/>
        </w:rPr>
        <w:t>.</w:t>
      </w:r>
      <w:bookmarkEnd w:id="185"/>
    </w:p>
    <w:p w:rsidR="00D70E67" w:rsidRDefault="00C06BA2">
      <w:pPr>
        <w:pStyle w:val="1"/>
        <w:keepNext w:val="0"/>
        <w:keepLines w:val="0"/>
        <w:widowControl w:val="0"/>
        <w:spacing w:before="120" w:after="120"/>
        <w:ind w:left="0"/>
        <w:rPr>
          <w:rFonts w:eastAsia="宋体"/>
        </w:rPr>
      </w:pPr>
      <w:r>
        <w:rPr>
          <w:rFonts w:eastAsia="宋体" w:hint="eastAsia"/>
        </w:rPr>
        <w:t>Conclusion</w:t>
      </w:r>
    </w:p>
    <w:p w:rsidR="00D70E67" w:rsidRDefault="00C06BA2">
      <w:pPr>
        <w:widowControl w:val="0"/>
        <w:tabs>
          <w:tab w:val="left" w:pos="2520"/>
        </w:tabs>
        <w:spacing w:before="120" w:after="120"/>
        <w:rPr>
          <w:sz w:val="20"/>
        </w:rPr>
      </w:pPr>
      <w:r>
        <w:rPr>
          <w:rFonts w:hint="eastAsia"/>
          <w:sz w:val="20"/>
        </w:rPr>
        <w:t>According to the discussion above, we provide the following</w:t>
      </w:r>
      <w:r>
        <w:rPr>
          <w:rFonts w:hint="eastAsia"/>
          <w:sz w:val="20"/>
        </w:rPr>
        <w:t xml:space="preserve"> proposal</w:t>
      </w:r>
      <w:r>
        <w:rPr>
          <w:sz w:val="20"/>
        </w:rPr>
        <w:t>s</w:t>
      </w:r>
      <w:r>
        <w:rPr>
          <w:rFonts w:hint="eastAsia"/>
          <w:sz w:val="20"/>
        </w:rPr>
        <w:t>:</w:t>
      </w:r>
    </w:p>
    <w:bookmarkStart w:id="186" w:name="_GoBack"/>
    <w:bookmarkEnd w:id="186"/>
    <w:p w:rsidR="00C06BA2" w:rsidRDefault="00C06BA2">
      <w:pPr>
        <w:pStyle w:val="10"/>
        <w:tabs>
          <w:tab w:val="left" w:pos="1282"/>
          <w:tab w:val="right" w:leader="dot" w:pos="9650"/>
        </w:tabs>
        <w:spacing w:before="120" w:after="120"/>
        <w:rPr>
          <w:rFonts w:asciiTheme="minorHAnsi" w:hAnsiTheme="minorHAnsi" w:cstheme="minorBidi"/>
          <w:b w:val="0"/>
          <w:i w:val="0"/>
          <w:noProof/>
          <w:sz w:val="21"/>
          <w:szCs w:val="22"/>
        </w:rPr>
      </w:pPr>
      <w:r>
        <w:fldChar w:fldCharType="begin"/>
      </w:r>
      <w:r>
        <w:instrText>TOC \n  \t "YJ-Proposal,1,sub-proposal,2,3rd level proposal,3" \h</w:instrText>
      </w:r>
      <w:r>
        <w:fldChar w:fldCharType="separate"/>
      </w:r>
      <w:hyperlink w:anchor="_Toc79225779" w:history="1">
        <w:r w:rsidRPr="00605E01">
          <w:rPr>
            <w:rStyle w:val="af2"/>
            <w:rFonts w:eastAsia="宋体"/>
            <w:noProof/>
          </w:rPr>
          <w:t>Proposal 1:</w:t>
        </w:r>
        <w:r>
          <w:rPr>
            <w:rFonts w:asciiTheme="minorHAnsi" w:hAnsiTheme="minorHAnsi" w:cstheme="minorBidi"/>
            <w:b w:val="0"/>
            <w:i w:val="0"/>
            <w:noProof/>
            <w:sz w:val="21"/>
            <w:szCs w:val="22"/>
          </w:rPr>
          <w:tab/>
        </w:r>
        <w:r w:rsidRPr="00605E01">
          <w:rPr>
            <w:rStyle w:val="af2"/>
            <w:rFonts w:cs="Times"/>
            <w:noProof/>
          </w:rPr>
          <w:t>IAB-MT Tx timing of case-6 timing is directly set to the IAB-DU Tx timing (Alt 2).</w:t>
        </w:r>
      </w:hyperlink>
    </w:p>
    <w:p w:rsidR="00C06BA2" w:rsidRDefault="00C06BA2">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9225780" w:history="1">
        <w:r w:rsidRPr="00605E01">
          <w:rPr>
            <w:rStyle w:val="af2"/>
            <w:rFonts w:eastAsia="宋体"/>
            <w:noProof/>
          </w:rPr>
          <w:t>Proposal 2:</w:t>
        </w:r>
        <w:r>
          <w:rPr>
            <w:rFonts w:asciiTheme="minorHAnsi" w:hAnsiTheme="minorHAnsi" w:cstheme="minorBidi"/>
            <w:b w:val="0"/>
            <w:i w:val="0"/>
            <w:noProof/>
            <w:sz w:val="21"/>
            <w:szCs w:val="22"/>
          </w:rPr>
          <w:tab/>
        </w:r>
        <w:r w:rsidRPr="00605E01">
          <w:rPr>
            <w:rStyle w:val="af2"/>
            <w:rFonts w:cs="Times"/>
            <w:noProof/>
          </w:rPr>
          <w:t>IAB-MT Tx timing of case-7 timing can be based on the legacy TA loop (Alt 2).</w:t>
        </w:r>
      </w:hyperlink>
    </w:p>
    <w:p w:rsidR="00C06BA2" w:rsidRDefault="00C06BA2">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9225781" w:history="1">
        <w:r w:rsidRPr="00605E01">
          <w:rPr>
            <w:rStyle w:val="af2"/>
            <w:rFonts w:eastAsia="宋体"/>
            <w:noProof/>
          </w:rPr>
          <w:t>Proposal 3:</w:t>
        </w:r>
        <w:r>
          <w:rPr>
            <w:rFonts w:asciiTheme="minorHAnsi" w:hAnsiTheme="minorHAnsi" w:cstheme="minorBidi"/>
            <w:b w:val="0"/>
            <w:i w:val="0"/>
            <w:noProof/>
            <w:sz w:val="21"/>
            <w:szCs w:val="22"/>
          </w:rPr>
          <w:tab/>
        </w:r>
        <w:r w:rsidRPr="00605E01">
          <w:rPr>
            <w:rStyle w:val="af2"/>
            <w:rFonts w:cs="Times"/>
            <w:noProof/>
          </w:rPr>
          <w:t>Dynamic switching between timing modes should be supported, e.g., to indicate the information for switching via resource scheduling DCI.</w:t>
        </w:r>
      </w:hyperlink>
    </w:p>
    <w:p w:rsidR="00C06BA2" w:rsidRDefault="00C06BA2">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9225782" w:history="1">
        <w:r w:rsidRPr="00605E01">
          <w:rPr>
            <w:rStyle w:val="af2"/>
            <w:rFonts w:eastAsia="宋体"/>
            <w:noProof/>
          </w:rPr>
          <w:t>Proposal 4:</w:t>
        </w:r>
        <w:r>
          <w:rPr>
            <w:rFonts w:asciiTheme="minorHAnsi" w:hAnsiTheme="minorHAnsi" w:cstheme="minorBidi"/>
            <w:b w:val="0"/>
            <w:i w:val="0"/>
            <w:noProof/>
            <w:sz w:val="21"/>
            <w:szCs w:val="22"/>
          </w:rPr>
          <w:tab/>
        </w:r>
        <w:r w:rsidRPr="00605E01">
          <w:rPr>
            <w:rStyle w:val="af2"/>
            <w:rFonts w:cs="Times"/>
            <w:noProof/>
          </w:rPr>
          <w:t>An IAB-node is indicated by the parent node which timing mode (case-1/6/7 timing) should be performed at the IAB-node.</w:t>
        </w:r>
      </w:hyperlink>
    </w:p>
    <w:p w:rsidR="00C06BA2" w:rsidRDefault="00C06BA2">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9225783" w:history="1">
        <w:r w:rsidRPr="00605E01">
          <w:rPr>
            <w:rStyle w:val="af2"/>
            <w:rFonts w:eastAsia="宋体"/>
            <w:noProof/>
          </w:rPr>
          <w:t>Proposal 5:</w:t>
        </w:r>
        <w:r>
          <w:rPr>
            <w:rFonts w:asciiTheme="minorHAnsi" w:hAnsiTheme="minorHAnsi" w:cstheme="minorBidi"/>
            <w:b w:val="0"/>
            <w:i w:val="0"/>
            <w:noProof/>
            <w:sz w:val="21"/>
            <w:szCs w:val="22"/>
          </w:rPr>
          <w:tab/>
        </w:r>
        <w:r w:rsidRPr="00605E01">
          <w:rPr>
            <w:rStyle w:val="af2"/>
            <w:noProof/>
          </w:rPr>
          <w:t>An IAB node can be configured with a maximum allowed UL Tx power of IAB-MT and a maximum allowed DL Tx power of IAB-DU in case of simultaneous DU-Tx/MT-Tx at the IAB node</w:t>
        </w:r>
        <w:r w:rsidRPr="00605E01">
          <w:rPr>
            <w:rStyle w:val="af2"/>
            <w:rFonts w:cs="Times"/>
            <w:noProof/>
          </w:rPr>
          <w:t>.</w:t>
        </w:r>
      </w:hyperlink>
    </w:p>
    <w:p w:rsidR="00C06BA2" w:rsidRDefault="00C06BA2">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9225784" w:history="1">
        <w:r w:rsidRPr="00605E01">
          <w:rPr>
            <w:rStyle w:val="af2"/>
            <w:rFonts w:eastAsia="宋体"/>
            <w:noProof/>
          </w:rPr>
          <w:t>Proposal 6:</w:t>
        </w:r>
        <w:r>
          <w:rPr>
            <w:rFonts w:asciiTheme="minorHAnsi" w:hAnsiTheme="minorHAnsi" w:cstheme="minorBidi"/>
            <w:b w:val="0"/>
            <w:i w:val="0"/>
            <w:noProof/>
            <w:sz w:val="21"/>
            <w:szCs w:val="22"/>
          </w:rPr>
          <w:tab/>
        </w:r>
        <w:r w:rsidRPr="00605E01">
          <w:rPr>
            <w:rStyle w:val="af2"/>
            <w:noProof/>
          </w:rPr>
          <w:t>Support different UL power control parameters for different time resources of IAB MT.</w:t>
        </w:r>
      </w:hyperlink>
    </w:p>
    <w:p w:rsidR="00C06BA2" w:rsidRDefault="00C06BA2">
      <w:pPr>
        <w:pStyle w:val="10"/>
        <w:tabs>
          <w:tab w:val="left" w:pos="862"/>
          <w:tab w:val="right" w:leader="dot" w:pos="9650"/>
        </w:tabs>
        <w:spacing w:before="120" w:after="120"/>
        <w:rPr>
          <w:rFonts w:asciiTheme="minorHAnsi" w:hAnsiTheme="minorHAnsi" w:cstheme="minorBidi"/>
          <w:b w:val="0"/>
          <w:i w:val="0"/>
          <w:noProof/>
          <w:sz w:val="21"/>
          <w:szCs w:val="22"/>
        </w:rPr>
      </w:pPr>
      <w:hyperlink w:anchor="_Toc79225785" w:history="1">
        <w:r w:rsidRPr="00605E01">
          <w:rPr>
            <w:rStyle w:val="af2"/>
            <w:rFonts w:ascii="Arial" w:eastAsia="宋体" w:hAnsi="Arial" w:cs="Arial"/>
            <w:noProof/>
          </w:rPr>
          <w:t>•</w:t>
        </w:r>
        <w:r>
          <w:rPr>
            <w:rFonts w:asciiTheme="minorHAnsi" w:hAnsiTheme="minorHAnsi" w:cstheme="minorBidi"/>
            <w:b w:val="0"/>
            <w:i w:val="0"/>
            <w:noProof/>
            <w:sz w:val="21"/>
            <w:szCs w:val="22"/>
          </w:rPr>
          <w:tab/>
        </w:r>
        <w:r w:rsidRPr="00605E01">
          <w:rPr>
            <w:rStyle w:val="af2"/>
            <w:noProof/>
          </w:rPr>
          <w:t>L</w:t>
        </w:r>
        <w:r w:rsidRPr="00605E01">
          <w:rPr>
            <w:rStyle w:val="af2"/>
            <w:rFonts w:eastAsia="Calibri"/>
            <w:noProof/>
          </w:rPr>
          <w:t>egacy UL power control mechanism</w:t>
        </w:r>
        <w:r w:rsidRPr="00605E01">
          <w:rPr>
            <w:rStyle w:val="af2"/>
            <w:rFonts w:eastAsia="宋体"/>
            <w:noProof/>
          </w:rPr>
          <w:t xml:space="preserve"> is reused for a given time resource with its associated </w:t>
        </w:r>
        <w:r w:rsidRPr="00605E01">
          <w:rPr>
            <w:rStyle w:val="af2"/>
            <w:noProof/>
          </w:rPr>
          <w:t>UL power control parameters.</w:t>
        </w:r>
      </w:hyperlink>
    </w:p>
    <w:p w:rsidR="00C06BA2" w:rsidRDefault="00C06BA2">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9225786" w:history="1">
        <w:r w:rsidRPr="00605E01">
          <w:rPr>
            <w:rStyle w:val="af2"/>
            <w:rFonts w:eastAsia="宋体"/>
            <w:noProof/>
          </w:rPr>
          <w:t>Proposal 7:</w:t>
        </w:r>
        <w:r>
          <w:rPr>
            <w:rFonts w:asciiTheme="minorHAnsi" w:hAnsiTheme="minorHAnsi" w:cstheme="minorBidi"/>
            <w:b w:val="0"/>
            <w:i w:val="0"/>
            <w:noProof/>
            <w:sz w:val="21"/>
            <w:szCs w:val="22"/>
          </w:rPr>
          <w:tab/>
        </w:r>
        <w:r w:rsidRPr="00605E01">
          <w:rPr>
            <w:rStyle w:val="af2"/>
            <w:noProof/>
          </w:rPr>
          <w:t xml:space="preserve">Beam depended DL power </w:t>
        </w:r>
        <w:r w:rsidRPr="00605E01">
          <w:rPr>
            <w:rStyle w:val="af2"/>
            <w:rFonts w:eastAsia="Calibri" w:cs="Times"/>
            <w:noProof/>
          </w:rPr>
          <w:t xml:space="preserve">allocation </w:t>
        </w:r>
        <w:r w:rsidRPr="00605E01">
          <w:rPr>
            <w:rStyle w:val="af2"/>
            <w:noProof/>
          </w:rPr>
          <w:t>of parent node DU should be considered, parent node DU provides DL power allocation parameters and associated beam information to IAB node MTs (e.g., different PC parameters could be associated with different TCI states, or CSI-RSs).</w:t>
        </w:r>
      </w:hyperlink>
    </w:p>
    <w:p w:rsidR="00C06BA2" w:rsidRDefault="00C06BA2">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9225787" w:history="1">
        <w:r w:rsidRPr="00605E01">
          <w:rPr>
            <w:rStyle w:val="af2"/>
            <w:rFonts w:eastAsia="宋体"/>
            <w:noProof/>
          </w:rPr>
          <w:t>Proposal 8:</w:t>
        </w:r>
        <w:r>
          <w:rPr>
            <w:rFonts w:asciiTheme="minorHAnsi" w:hAnsiTheme="minorHAnsi" w:cstheme="minorBidi"/>
            <w:b w:val="0"/>
            <w:i w:val="0"/>
            <w:noProof/>
            <w:sz w:val="21"/>
            <w:szCs w:val="22"/>
          </w:rPr>
          <w:tab/>
        </w:r>
        <w:r w:rsidRPr="00605E01">
          <w:rPr>
            <w:rStyle w:val="af2"/>
            <w:noProof/>
          </w:rPr>
          <w:t xml:space="preserve">Assistance information for DL power </w:t>
        </w:r>
        <w:r w:rsidRPr="00605E01">
          <w:rPr>
            <w:rStyle w:val="af2"/>
            <w:rFonts w:eastAsia="Calibri" w:cs="Times"/>
            <w:noProof/>
          </w:rPr>
          <w:t xml:space="preserve">allocation </w:t>
        </w:r>
        <w:r w:rsidRPr="00605E01">
          <w:rPr>
            <w:rStyle w:val="af2"/>
            <w:noProof/>
          </w:rPr>
          <w:t>of a parent node DU is indicated per time resource by IAB node MT.</w:t>
        </w:r>
      </w:hyperlink>
    </w:p>
    <w:p w:rsidR="00C06BA2" w:rsidRDefault="00C06BA2">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9225788" w:history="1">
        <w:r w:rsidRPr="00605E01">
          <w:rPr>
            <w:rStyle w:val="af2"/>
            <w:rFonts w:eastAsia="宋体"/>
            <w:noProof/>
          </w:rPr>
          <w:t>Proposal 9:</w:t>
        </w:r>
        <w:r>
          <w:rPr>
            <w:rFonts w:asciiTheme="minorHAnsi" w:hAnsiTheme="minorHAnsi" w:cstheme="minorBidi"/>
            <w:b w:val="0"/>
            <w:i w:val="0"/>
            <w:noProof/>
            <w:sz w:val="21"/>
            <w:szCs w:val="22"/>
          </w:rPr>
          <w:tab/>
        </w:r>
        <w:r w:rsidRPr="00605E01">
          <w:rPr>
            <w:rStyle w:val="af2"/>
            <w:noProof/>
          </w:rPr>
          <w:t>Legacy UE to UE CLI procedure can be reused for MT to MT CLI.</w:t>
        </w:r>
      </w:hyperlink>
    </w:p>
    <w:p w:rsidR="00C06BA2" w:rsidRDefault="00C06BA2">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9225789" w:history="1">
        <w:r w:rsidRPr="00605E01">
          <w:rPr>
            <w:rStyle w:val="af2"/>
            <w:rFonts w:eastAsia="宋体"/>
            <w:noProof/>
          </w:rPr>
          <w:t>Proposal 10:</w:t>
        </w:r>
        <w:r>
          <w:rPr>
            <w:rFonts w:asciiTheme="minorHAnsi" w:hAnsiTheme="minorHAnsi" w:cstheme="minorBidi"/>
            <w:b w:val="0"/>
            <w:i w:val="0"/>
            <w:noProof/>
            <w:sz w:val="21"/>
            <w:szCs w:val="22"/>
          </w:rPr>
          <w:tab/>
        </w:r>
        <w:r w:rsidRPr="00605E01">
          <w:rPr>
            <w:rStyle w:val="af2"/>
            <w:noProof/>
          </w:rPr>
          <w:t>DU to DU CLI measurement and report are left to DU implementation (excluding the remote interference measurement and report).</w:t>
        </w:r>
      </w:hyperlink>
    </w:p>
    <w:p w:rsidR="00C06BA2" w:rsidRDefault="00C06BA2">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9225790" w:history="1">
        <w:r w:rsidRPr="00605E01">
          <w:rPr>
            <w:rStyle w:val="af2"/>
            <w:rFonts w:eastAsia="宋体"/>
            <w:noProof/>
          </w:rPr>
          <w:t>Proposal 11:</w:t>
        </w:r>
        <w:r>
          <w:rPr>
            <w:rFonts w:asciiTheme="minorHAnsi" w:hAnsiTheme="minorHAnsi" w:cstheme="minorBidi"/>
            <w:b w:val="0"/>
            <w:i w:val="0"/>
            <w:noProof/>
            <w:sz w:val="21"/>
            <w:szCs w:val="22"/>
          </w:rPr>
          <w:tab/>
        </w:r>
        <w:r w:rsidRPr="00605E01">
          <w:rPr>
            <w:rStyle w:val="af2"/>
            <w:noProof/>
          </w:rPr>
          <w:t>DCI 2_0/DCI2_5 like beam applicable DCI is used to indicate the IAB MT applicable beams in a set of slots.</w:t>
        </w:r>
      </w:hyperlink>
    </w:p>
    <w:p w:rsidR="00C06BA2" w:rsidRDefault="00C06BA2">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9225791" w:history="1">
        <w:r w:rsidRPr="00605E01">
          <w:rPr>
            <w:rStyle w:val="af2"/>
            <w:rFonts w:eastAsia="宋体"/>
            <w:noProof/>
          </w:rPr>
          <w:t>Proposal 12:</w:t>
        </w:r>
        <w:r>
          <w:rPr>
            <w:rFonts w:asciiTheme="minorHAnsi" w:hAnsiTheme="minorHAnsi" w:cstheme="minorBidi"/>
            <w:b w:val="0"/>
            <w:i w:val="0"/>
            <w:noProof/>
            <w:sz w:val="21"/>
            <w:szCs w:val="22"/>
          </w:rPr>
          <w:tab/>
        </w:r>
        <w:r w:rsidRPr="00605E01">
          <w:rPr>
            <w:rStyle w:val="af2"/>
            <w:noProof/>
          </w:rPr>
          <w:t>For CLI management, exchanging of IAB-DU H/S/NA resource configuration information among neighbouring IAB nodes/IAB-donors can be supported.</w:t>
        </w:r>
      </w:hyperlink>
    </w:p>
    <w:p w:rsidR="00D70E67" w:rsidRDefault="00C06BA2">
      <w:pPr>
        <w:pStyle w:val="10"/>
        <w:widowControl w:val="0"/>
        <w:tabs>
          <w:tab w:val="right" w:pos="9660"/>
        </w:tabs>
        <w:spacing w:before="120" w:after="120"/>
        <w:rPr>
          <w:rFonts w:cs="Times"/>
          <w:bCs/>
          <w:iCs/>
          <w:color w:val="000000"/>
        </w:rPr>
      </w:pPr>
      <w:r>
        <w:fldChar w:fldCharType="end"/>
      </w:r>
    </w:p>
    <w:p w:rsidR="00D70E67" w:rsidRDefault="00C06BA2">
      <w:pPr>
        <w:pStyle w:val="1"/>
        <w:keepNext w:val="0"/>
        <w:keepLines w:val="0"/>
        <w:widowControl w:val="0"/>
        <w:spacing w:before="120" w:after="120"/>
        <w:ind w:left="0"/>
        <w:rPr>
          <w:rFonts w:eastAsia="宋体"/>
        </w:rPr>
      </w:pPr>
      <w:r>
        <w:rPr>
          <w:rFonts w:eastAsia="宋体" w:hint="eastAsia"/>
        </w:rPr>
        <w:t>Reference</w:t>
      </w:r>
      <w:r>
        <w:rPr>
          <w:rFonts w:eastAsia="宋体"/>
        </w:rPr>
        <w:t>s</w:t>
      </w:r>
    </w:p>
    <w:p w:rsidR="00D70E67" w:rsidRDefault="00C06BA2">
      <w:pPr>
        <w:pStyle w:val="References"/>
        <w:widowControl w:val="0"/>
        <w:spacing w:before="120" w:after="120"/>
        <w:ind w:left="0" w:firstLine="0"/>
        <w:rPr>
          <w:sz w:val="20"/>
          <w:szCs w:val="20"/>
        </w:rPr>
      </w:pPr>
      <w:bookmarkStart w:id="187" w:name="_Ref17466"/>
      <w:bookmarkStart w:id="188" w:name="_Ref16505925"/>
      <w:bookmarkStart w:id="189" w:name="_Ref6480"/>
      <w:r>
        <w:rPr>
          <w:rFonts w:hint="eastAsia"/>
          <w:bCs/>
          <w:sz w:val="20"/>
          <w:szCs w:val="20"/>
        </w:rPr>
        <w:t>Chairman's Notes RAN1#10</w:t>
      </w:r>
      <w:r>
        <w:rPr>
          <w:rFonts w:hint="eastAsia"/>
          <w:bCs/>
          <w:sz w:val="20"/>
          <w:szCs w:val="20"/>
        </w:rPr>
        <w:t>5</w:t>
      </w:r>
      <w:r>
        <w:rPr>
          <w:rFonts w:hint="eastAsia"/>
          <w:bCs/>
          <w:sz w:val="20"/>
          <w:szCs w:val="20"/>
        </w:rPr>
        <w:t>-e final</w:t>
      </w:r>
      <w:bookmarkEnd w:id="187"/>
      <w:bookmarkEnd w:id="188"/>
      <w:bookmarkEnd w:id="189"/>
    </w:p>
    <w:sectPr w:rsidR="00D70E67">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C06BA2">
      <w:pPr>
        <w:spacing w:before="120" w:after="120" w:line="240" w:lineRule="auto"/>
      </w:pPr>
      <w:r>
        <w:separator/>
      </w:r>
    </w:p>
  </w:endnote>
  <w:endnote w:type="continuationSeparator" w:id="0">
    <w:p w:rsidR="00000000" w:rsidRDefault="00C06BA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E67" w:rsidRDefault="00D70E67">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34744"/>
    </w:sdtPr>
    <w:sdtEndPr/>
    <w:sdtContent>
      <w:p w:rsidR="00D70E67" w:rsidRDefault="00C06BA2">
        <w:pPr>
          <w:pStyle w:val="a9"/>
          <w:spacing w:before="120" w:after="120"/>
          <w:jc w:val="center"/>
        </w:pPr>
        <w:r>
          <w:fldChar w:fldCharType="begin"/>
        </w:r>
        <w:r>
          <w:instrText xml:space="preserve"> PAGE   \* MERGEFORMAT </w:instrText>
        </w:r>
        <w:r>
          <w:fldChar w:fldCharType="separate"/>
        </w:r>
        <w:r>
          <w:rPr>
            <w:noProof/>
          </w:rPr>
          <w:t>1</w:t>
        </w:r>
        <w:r>
          <w:fldChar w:fldCharType="end"/>
        </w:r>
      </w:p>
    </w:sdtContent>
  </w:sdt>
  <w:p w:rsidR="00D70E67" w:rsidRDefault="00D70E67">
    <w:pPr>
      <w:pStyle w:val="a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E67" w:rsidRDefault="00D70E67">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C06BA2">
      <w:pPr>
        <w:spacing w:before="120" w:after="120" w:line="240" w:lineRule="auto"/>
      </w:pPr>
      <w:r>
        <w:separator/>
      </w:r>
    </w:p>
  </w:footnote>
  <w:footnote w:type="continuationSeparator" w:id="0">
    <w:p w:rsidR="00000000" w:rsidRDefault="00C06BA2">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E67" w:rsidRDefault="00D70E67">
    <w:pPr>
      <w:pStyle w:val="aa"/>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E67" w:rsidRDefault="00D70E67">
    <w:pPr>
      <w:pStyle w:val="aa"/>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E67" w:rsidRDefault="00D70E67">
    <w:pPr>
      <w:pStyle w:val="aa"/>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8">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6"/>
  </w:num>
  <w:num w:numId="6">
    <w:abstractNumId w:val="0"/>
  </w:num>
  <w:num w:numId="7">
    <w:abstractNumId w:val="7"/>
  </w:num>
  <w:num w:numId="8">
    <w:abstractNumId w:val="10"/>
  </w:num>
  <w:num w:numId="9">
    <w:abstractNumId w:val="9"/>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54E2"/>
    <w:rsid w:val="0006075B"/>
    <w:rsid w:val="000731D9"/>
    <w:rsid w:val="00083DDB"/>
    <w:rsid w:val="000960A5"/>
    <w:rsid w:val="000A2EE5"/>
    <w:rsid w:val="000C1902"/>
    <w:rsid w:val="000C23F8"/>
    <w:rsid w:val="000D05AA"/>
    <w:rsid w:val="000E7CD3"/>
    <w:rsid w:val="00102A6F"/>
    <w:rsid w:val="00141144"/>
    <w:rsid w:val="00166068"/>
    <w:rsid w:val="00167D1E"/>
    <w:rsid w:val="00172A27"/>
    <w:rsid w:val="00175FEC"/>
    <w:rsid w:val="00220CC6"/>
    <w:rsid w:val="0022267B"/>
    <w:rsid w:val="00281B0F"/>
    <w:rsid w:val="00293416"/>
    <w:rsid w:val="00293A8C"/>
    <w:rsid w:val="0029664F"/>
    <w:rsid w:val="00297B77"/>
    <w:rsid w:val="002A0BF2"/>
    <w:rsid w:val="002C59CF"/>
    <w:rsid w:val="002E444A"/>
    <w:rsid w:val="002F3A23"/>
    <w:rsid w:val="0031325A"/>
    <w:rsid w:val="003241EE"/>
    <w:rsid w:val="00333ED2"/>
    <w:rsid w:val="00334292"/>
    <w:rsid w:val="00376C34"/>
    <w:rsid w:val="00384F99"/>
    <w:rsid w:val="00395697"/>
    <w:rsid w:val="003A1203"/>
    <w:rsid w:val="003E6CCE"/>
    <w:rsid w:val="0040257E"/>
    <w:rsid w:val="00404FF0"/>
    <w:rsid w:val="00405665"/>
    <w:rsid w:val="00433B93"/>
    <w:rsid w:val="00435878"/>
    <w:rsid w:val="00441CD9"/>
    <w:rsid w:val="004A5900"/>
    <w:rsid w:val="004C0DBD"/>
    <w:rsid w:val="004C4675"/>
    <w:rsid w:val="004F2D29"/>
    <w:rsid w:val="004F6201"/>
    <w:rsid w:val="0051732E"/>
    <w:rsid w:val="00526188"/>
    <w:rsid w:val="005265A6"/>
    <w:rsid w:val="00565559"/>
    <w:rsid w:val="005B065E"/>
    <w:rsid w:val="005F492B"/>
    <w:rsid w:val="006369E0"/>
    <w:rsid w:val="0064354B"/>
    <w:rsid w:val="006522AC"/>
    <w:rsid w:val="006627DA"/>
    <w:rsid w:val="0066322D"/>
    <w:rsid w:val="006636C0"/>
    <w:rsid w:val="006757F1"/>
    <w:rsid w:val="006921E5"/>
    <w:rsid w:val="0069512F"/>
    <w:rsid w:val="00695650"/>
    <w:rsid w:val="00697EBB"/>
    <w:rsid w:val="006B4DFD"/>
    <w:rsid w:val="006C756C"/>
    <w:rsid w:val="0070284D"/>
    <w:rsid w:val="00713F21"/>
    <w:rsid w:val="00725A62"/>
    <w:rsid w:val="00726BCF"/>
    <w:rsid w:val="00733AB8"/>
    <w:rsid w:val="00740B89"/>
    <w:rsid w:val="007564FE"/>
    <w:rsid w:val="00761B1D"/>
    <w:rsid w:val="0077184F"/>
    <w:rsid w:val="007761FD"/>
    <w:rsid w:val="007B39E8"/>
    <w:rsid w:val="007B51B3"/>
    <w:rsid w:val="007C1124"/>
    <w:rsid w:val="007E5750"/>
    <w:rsid w:val="00823F23"/>
    <w:rsid w:val="00837885"/>
    <w:rsid w:val="00841B19"/>
    <w:rsid w:val="00883484"/>
    <w:rsid w:val="008F6930"/>
    <w:rsid w:val="0090458B"/>
    <w:rsid w:val="00935B63"/>
    <w:rsid w:val="00936426"/>
    <w:rsid w:val="00955583"/>
    <w:rsid w:val="0096044C"/>
    <w:rsid w:val="009904A9"/>
    <w:rsid w:val="0099160A"/>
    <w:rsid w:val="00996F89"/>
    <w:rsid w:val="009C6D56"/>
    <w:rsid w:val="009E3245"/>
    <w:rsid w:val="009E7529"/>
    <w:rsid w:val="009F3678"/>
    <w:rsid w:val="009F7489"/>
    <w:rsid w:val="00A163E3"/>
    <w:rsid w:val="00A521CA"/>
    <w:rsid w:val="00AC03D1"/>
    <w:rsid w:val="00AD7DD2"/>
    <w:rsid w:val="00B04112"/>
    <w:rsid w:val="00B140E4"/>
    <w:rsid w:val="00B22688"/>
    <w:rsid w:val="00B27ADE"/>
    <w:rsid w:val="00B5700F"/>
    <w:rsid w:val="00B6123B"/>
    <w:rsid w:val="00B6403D"/>
    <w:rsid w:val="00B646BE"/>
    <w:rsid w:val="00B64D3A"/>
    <w:rsid w:val="00B675A2"/>
    <w:rsid w:val="00B75F9E"/>
    <w:rsid w:val="00B81A17"/>
    <w:rsid w:val="00B82A09"/>
    <w:rsid w:val="00B82BEF"/>
    <w:rsid w:val="00B9727F"/>
    <w:rsid w:val="00BB18E5"/>
    <w:rsid w:val="00BB423E"/>
    <w:rsid w:val="00BE204A"/>
    <w:rsid w:val="00C06B18"/>
    <w:rsid w:val="00C06BA2"/>
    <w:rsid w:val="00C229E2"/>
    <w:rsid w:val="00C5250B"/>
    <w:rsid w:val="00C551A0"/>
    <w:rsid w:val="00C67E62"/>
    <w:rsid w:val="00C97A84"/>
    <w:rsid w:val="00CA2622"/>
    <w:rsid w:val="00CA43AD"/>
    <w:rsid w:val="00CB2546"/>
    <w:rsid w:val="00CB3383"/>
    <w:rsid w:val="00CC354F"/>
    <w:rsid w:val="00CD3BAB"/>
    <w:rsid w:val="00CE007D"/>
    <w:rsid w:val="00CF5B3A"/>
    <w:rsid w:val="00CF5CB2"/>
    <w:rsid w:val="00CF7BB0"/>
    <w:rsid w:val="00D32540"/>
    <w:rsid w:val="00D44026"/>
    <w:rsid w:val="00D64D14"/>
    <w:rsid w:val="00D659E8"/>
    <w:rsid w:val="00D70E67"/>
    <w:rsid w:val="00D83922"/>
    <w:rsid w:val="00DC658B"/>
    <w:rsid w:val="00DD1281"/>
    <w:rsid w:val="00DD4D05"/>
    <w:rsid w:val="00DE1BC7"/>
    <w:rsid w:val="00DE3ABE"/>
    <w:rsid w:val="00DE6A76"/>
    <w:rsid w:val="00E22262"/>
    <w:rsid w:val="00E34B89"/>
    <w:rsid w:val="00E36661"/>
    <w:rsid w:val="00E7658A"/>
    <w:rsid w:val="00E865D3"/>
    <w:rsid w:val="00E8734D"/>
    <w:rsid w:val="00EA36FC"/>
    <w:rsid w:val="00EC0971"/>
    <w:rsid w:val="00EC171F"/>
    <w:rsid w:val="00EC3177"/>
    <w:rsid w:val="00EE1459"/>
    <w:rsid w:val="00EE508E"/>
    <w:rsid w:val="00EF52B5"/>
    <w:rsid w:val="00F063F3"/>
    <w:rsid w:val="00F15363"/>
    <w:rsid w:val="00F24E71"/>
    <w:rsid w:val="00F447C8"/>
    <w:rsid w:val="00F461EF"/>
    <w:rsid w:val="00F823B1"/>
    <w:rsid w:val="00F978F9"/>
    <w:rsid w:val="00FA0A08"/>
    <w:rsid w:val="00FA7AB4"/>
    <w:rsid w:val="00FB3F4B"/>
    <w:rsid w:val="00FC03CC"/>
    <w:rsid w:val="00FC5E14"/>
    <w:rsid w:val="00FD2DE4"/>
    <w:rsid w:val="00FE4F57"/>
    <w:rsid w:val="01167A89"/>
    <w:rsid w:val="014404CF"/>
    <w:rsid w:val="015702F1"/>
    <w:rsid w:val="015B20BD"/>
    <w:rsid w:val="01764F01"/>
    <w:rsid w:val="018360AE"/>
    <w:rsid w:val="02212D7E"/>
    <w:rsid w:val="024D6B6A"/>
    <w:rsid w:val="02553352"/>
    <w:rsid w:val="029B04E7"/>
    <w:rsid w:val="02AD7079"/>
    <w:rsid w:val="02C202A0"/>
    <w:rsid w:val="02F008EC"/>
    <w:rsid w:val="03073BDC"/>
    <w:rsid w:val="033451DB"/>
    <w:rsid w:val="033F44DC"/>
    <w:rsid w:val="03465C1F"/>
    <w:rsid w:val="036B3CA6"/>
    <w:rsid w:val="037034E6"/>
    <w:rsid w:val="03853D24"/>
    <w:rsid w:val="038D1BC3"/>
    <w:rsid w:val="039F284D"/>
    <w:rsid w:val="03DB0701"/>
    <w:rsid w:val="03FA05E4"/>
    <w:rsid w:val="041D69DB"/>
    <w:rsid w:val="0438784A"/>
    <w:rsid w:val="04711194"/>
    <w:rsid w:val="04787413"/>
    <w:rsid w:val="04820E4D"/>
    <w:rsid w:val="0482236C"/>
    <w:rsid w:val="04824ADC"/>
    <w:rsid w:val="048A693F"/>
    <w:rsid w:val="049820AC"/>
    <w:rsid w:val="04A34C49"/>
    <w:rsid w:val="04B977FE"/>
    <w:rsid w:val="04C27429"/>
    <w:rsid w:val="04D9100A"/>
    <w:rsid w:val="04F43DBC"/>
    <w:rsid w:val="051D2186"/>
    <w:rsid w:val="0555228E"/>
    <w:rsid w:val="055822D8"/>
    <w:rsid w:val="058430D7"/>
    <w:rsid w:val="059D1E39"/>
    <w:rsid w:val="05E078B3"/>
    <w:rsid w:val="061A6A42"/>
    <w:rsid w:val="061E3658"/>
    <w:rsid w:val="06234011"/>
    <w:rsid w:val="06247A1E"/>
    <w:rsid w:val="065D038F"/>
    <w:rsid w:val="06684262"/>
    <w:rsid w:val="067342DE"/>
    <w:rsid w:val="069635DB"/>
    <w:rsid w:val="06B2024B"/>
    <w:rsid w:val="06B94F09"/>
    <w:rsid w:val="06DF203C"/>
    <w:rsid w:val="06EA48EC"/>
    <w:rsid w:val="070061BC"/>
    <w:rsid w:val="07194833"/>
    <w:rsid w:val="07421FE8"/>
    <w:rsid w:val="07637E02"/>
    <w:rsid w:val="076A7F7D"/>
    <w:rsid w:val="077D0583"/>
    <w:rsid w:val="079724D0"/>
    <w:rsid w:val="082A352F"/>
    <w:rsid w:val="08A27A6D"/>
    <w:rsid w:val="08A33A9E"/>
    <w:rsid w:val="08C02A08"/>
    <w:rsid w:val="08C349D1"/>
    <w:rsid w:val="08DD3637"/>
    <w:rsid w:val="08F04726"/>
    <w:rsid w:val="0965064C"/>
    <w:rsid w:val="0965483E"/>
    <w:rsid w:val="0976492C"/>
    <w:rsid w:val="09961B0B"/>
    <w:rsid w:val="09997194"/>
    <w:rsid w:val="09AF099C"/>
    <w:rsid w:val="09F67CD5"/>
    <w:rsid w:val="0A203D4A"/>
    <w:rsid w:val="0A314C21"/>
    <w:rsid w:val="0A3E579E"/>
    <w:rsid w:val="0A8B18E1"/>
    <w:rsid w:val="0ACF283D"/>
    <w:rsid w:val="0ACF5168"/>
    <w:rsid w:val="0AE23704"/>
    <w:rsid w:val="0B25121C"/>
    <w:rsid w:val="0B3B302F"/>
    <w:rsid w:val="0B616C98"/>
    <w:rsid w:val="0B6B53D6"/>
    <w:rsid w:val="0B8E19CD"/>
    <w:rsid w:val="0B9E71DF"/>
    <w:rsid w:val="0BBA4E15"/>
    <w:rsid w:val="0BE57191"/>
    <w:rsid w:val="0C6450EC"/>
    <w:rsid w:val="0C89227F"/>
    <w:rsid w:val="0C9D30C2"/>
    <w:rsid w:val="0CDD5E22"/>
    <w:rsid w:val="0CE432A0"/>
    <w:rsid w:val="0CEC3335"/>
    <w:rsid w:val="0D1220E5"/>
    <w:rsid w:val="0D772C9C"/>
    <w:rsid w:val="0D91205B"/>
    <w:rsid w:val="0DFA55ED"/>
    <w:rsid w:val="0E0B3698"/>
    <w:rsid w:val="0E171354"/>
    <w:rsid w:val="0E172BD0"/>
    <w:rsid w:val="0E2E3A68"/>
    <w:rsid w:val="0E454BC8"/>
    <w:rsid w:val="0E6122BF"/>
    <w:rsid w:val="0E6E1973"/>
    <w:rsid w:val="0E8F5401"/>
    <w:rsid w:val="0EFF5C2D"/>
    <w:rsid w:val="0F143BD2"/>
    <w:rsid w:val="0F1B6F0A"/>
    <w:rsid w:val="0F5B70B3"/>
    <w:rsid w:val="0FD74648"/>
    <w:rsid w:val="0FFD3646"/>
    <w:rsid w:val="100D1BF3"/>
    <w:rsid w:val="101173BB"/>
    <w:rsid w:val="101D4DE6"/>
    <w:rsid w:val="108746DE"/>
    <w:rsid w:val="109F3465"/>
    <w:rsid w:val="10A50104"/>
    <w:rsid w:val="10AD1CC0"/>
    <w:rsid w:val="10DA1818"/>
    <w:rsid w:val="10E348C8"/>
    <w:rsid w:val="10EB3B6B"/>
    <w:rsid w:val="111C561E"/>
    <w:rsid w:val="114B0B48"/>
    <w:rsid w:val="119778DE"/>
    <w:rsid w:val="119D7849"/>
    <w:rsid w:val="11B87794"/>
    <w:rsid w:val="11BE1819"/>
    <w:rsid w:val="120103B9"/>
    <w:rsid w:val="1242135C"/>
    <w:rsid w:val="125B6C47"/>
    <w:rsid w:val="126E119D"/>
    <w:rsid w:val="12775CDF"/>
    <w:rsid w:val="12A06BC5"/>
    <w:rsid w:val="12B73F6B"/>
    <w:rsid w:val="12F334CF"/>
    <w:rsid w:val="130E7E01"/>
    <w:rsid w:val="131310C0"/>
    <w:rsid w:val="131C1976"/>
    <w:rsid w:val="136B5A39"/>
    <w:rsid w:val="13A1683F"/>
    <w:rsid w:val="13A76A52"/>
    <w:rsid w:val="13B062B7"/>
    <w:rsid w:val="13D6227C"/>
    <w:rsid w:val="13DB3C06"/>
    <w:rsid w:val="147418D7"/>
    <w:rsid w:val="148C3A7E"/>
    <w:rsid w:val="14A43302"/>
    <w:rsid w:val="14C14A1F"/>
    <w:rsid w:val="14C853CE"/>
    <w:rsid w:val="14CC0A51"/>
    <w:rsid w:val="14DA3DA1"/>
    <w:rsid w:val="14EE1EBB"/>
    <w:rsid w:val="14F66467"/>
    <w:rsid w:val="150D1100"/>
    <w:rsid w:val="151B2D20"/>
    <w:rsid w:val="158B08C6"/>
    <w:rsid w:val="15AD415D"/>
    <w:rsid w:val="15CC53EE"/>
    <w:rsid w:val="15E36905"/>
    <w:rsid w:val="15F1581D"/>
    <w:rsid w:val="15F6644B"/>
    <w:rsid w:val="16513AEF"/>
    <w:rsid w:val="166F1824"/>
    <w:rsid w:val="168613A6"/>
    <w:rsid w:val="169F6619"/>
    <w:rsid w:val="16C32E27"/>
    <w:rsid w:val="17155857"/>
    <w:rsid w:val="17674FC6"/>
    <w:rsid w:val="17950508"/>
    <w:rsid w:val="17CC176B"/>
    <w:rsid w:val="17D54472"/>
    <w:rsid w:val="181865FE"/>
    <w:rsid w:val="186A13AB"/>
    <w:rsid w:val="187775FB"/>
    <w:rsid w:val="1894213E"/>
    <w:rsid w:val="189D47FD"/>
    <w:rsid w:val="18B230E0"/>
    <w:rsid w:val="18B66FB8"/>
    <w:rsid w:val="18F15198"/>
    <w:rsid w:val="18FC2F51"/>
    <w:rsid w:val="19010C43"/>
    <w:rsid w:val="19084C73"/>
    <w:rsid w:val="19200C2D"/>
    <w:rsid w:val="1A054259"/>
    <w:rsid w:val="1A0D7F96"/>
    <w:rsid w:val="1A2E0961"/>
    <w:rsid w:val="1A465517"/>
    <w:rsid w:val="1A5B5C38"/>
    <w:rsid w:val="1A6636EF"/>
    <w:rsid w:val="1AED7764"/>
    <w:rsid w:val="1B1337D4"/>
    <w:rsid w:val="1B3C1E7E"/>
    <w:rsid w:val="1B7F6005"/>
    <w:rsid w:val="1B804965"/>
    <w:rsid w:val="1BCE1DFD"/>
    <w:rsid w:val="1BDA119C"/>
    <w:rsid w:val="1BE941EE"/>
    <w:rsid w:val="1BEB4414"/>
    <w:rsid w:val="1C132CB9"/>
    <w:rsid w:val="1C236F79"/>
    <w:rsid w:val="1C9E1905"/>
    <w:rsid w:val="1CAB67AC"/>
    <w:rsid w:val="1CC27823"/>
    <w:rsid w:val="1CC55E56"/>
    <w:rsid w:val="1CCC26CA"/>
    <w:rsid w:val="1D183D7C"/>
    <w:rsid w:val="1D6860B0"/>
    <w:rsid w:val="1D731830"/>
    <w:rsid w:val="1D736D6E"/>
    <w:rsid w:val="1D824FCB"/>
    <w:rsid w:val="1DA15259"/>
    <w:rsid w:val="1DA2248D"/>
    <w:rsid w:val="1DDC5C5B"/>
    <w:rsid w:val="1DED6FF3"/>
    <w:rsid w:val="1DEF202A"/>
    <w:rsid w:val="1E155F21"/>
    <w:rsid w:val="1E213CAA"/>
    <w:rsid w:val="1E502C64"/>
    <w:rsid w:val="1E545DBD"/>
    <w:rsid w:val="1E664B2D"/>
    <w:rsid w:val="1E9D6342"/>
    <w:rsid w:val="1F150373"/>
    <w:rsid w:val="1F440BFE"/>
    <w:rsid w:val="1F723122"/>
    <w:rsid w:val="1F7479F8"/>
    <w:rsid w:val="1F962CAB"/>
    <w:rsid w:val="1FB754AD"/>
    <w:rsid w:val="1FC8058A"/>
    <w:rsid w:val="1FE11599"/>
    <w:rsid w:val="1FF51A13"/>
    <w:rsid w:val="202903CC"/>
    <w:rsid w:val="202A4795"/>
    <w:rsid w:val="20495BD8"/>
    <w:rsid w:val="204E6676"/>
    <w:rsid w:val="206267C3"/>
    <w:rsid w:val="206E2004"/>
    <w:rsid w:val="20712797"/>
    <w:rsid w:val="20CB6FE0"/>
    <w:rsid w:val="20E97E27"/>
    <w:rsid w:val="210917D8"/>
    <w:rsid w:val="211941B9"/>
    <w:rsid w:val="211A0695"/>
    <w:rsid w:val="211B1392"/>
    <w:rsid w:val="214833CD"/>
    <w:rsid w:val="216406C3"/>
    <w:rsid w:val="218E7C86"/>
    <w:rsid w:val="2195668B"/>
    <w:rsid w:val="21A649DD"/>
    <w:rsid w:val="21BE5AD4"/>
    <w:rsid w:val="21C2279E"/>
    <w:rsid w:val="21C90F74"/>
    <w:rsid w:val="21EC1042"/>
    <w:rsid w:val="220B039B"/>
    <w:rsid w:val="222C5C9C"/>
    <w:rsid w:val="228E502C"/>
    <w:rsid w:val="23082245"/>
    <w:rsid w:val="231D0823"/>
    <w:rsid w:val="23523D5B"/>
    <w:rsid w:val="236847C5"/>
    <w:rsid w:val="23733000"/>
    <w:rsid w:val="237E4558"/>
    <w:rsid w:val="23A30984"/>
    <w:rsid w:val="23B71DF0"/>
    <w:rsid w:val="23CC7904"/>
    <w:rsid w:val="23DA1E98"/>
    <w:rsid w:val="240C71C8"/>
    <w:rsid w:val="242278E1"/>
    <w:rsid w:val="245C52F8"/>
    <w:rsid w:val="2463385E"/>
    <w:rsid w:val="246A7BE0"/>
    <w:rsid w:val="249322E8"/>
    <w:rsid w:val="24944B36"/>
    <w:rsid w:val="24D77AFB"/>
    <w:rsid w:val="24E702E9"/>
    <w:rsid w:val="24F4325B"/>
    <w:rsid w:val="24FE25BF"/>
    <w:rsid w:val="2508650D"/>
    <w:rsid w:val="25134332"/>
    <w:rsid w:val="253D6D3A"/>
    <w:rsid w:val="255118C9"/>
    <w:rsid w:val="256307F9"/>
    <w:rsid w:val="25722255"/>
    <w:rsid w:val="257E508F"/>
    <w:rsid w:val="25A41814"/>
    <w:rsid w:val="25C00748"/>
    <w:rsid w:val="25E845D3"/>
    <w:rsid w:val="26421C49"/>
    <w:rsid w:val="2653091D"/>
    <w:rsid w:val="2698089E"/>
    <w:rsid w:val="26A168EB"/>
    <w:rsid w:val="26AA670E"/>
    <w:rsid w:val="274C01EB"/>
    <w:rsid w:val="27AB7429"/>
    <w:rsid w:val="27F85BF5"/>
    <w:rsid w:val="28006673"/>
    <w:rsid w:val="28311F29"/>
    <w:rsid w:val="285C053E"/>
    <w:rsid w:val="28663D87"/>
    <w:rsid w:val="2877524C"/>
    <w:rsid w:val="28911DA4"/>
    <w:rsid w:val="28C50C50"/>
    <w:rsid w:val="291721B0"/>
    <w:rsid w:val="29741FCB"/>
    <w:rsid w:val="297D3B9A"/>
    <w:rsid w:val="29FA7F26"/>
    <w:rsid w:val="2A115137"/>
    <w:rsid w:val="2A4E36C4"/>
    <w:rsid w:val="2A700E2D"/>
    <w:rsid w:val="2A8238B0"/>
    <w:rsid w:val="2A834EF2"/>
    <w:rsid w:val="2A9E3A9C"/>
    <w:rsid w:val="2B5D3F6B"/>
    <w:rsid w:val="2B5E3436"/>
    <w:rsid w:val="2B5E5CF1"/>
    <w:rsid w:val="2B76388B"/>
    <w:rsid w:val="2B774832"/>
    <w:rsid w:val="2BA97DE5"/>
    <w:rsid w:val="2BAA3A2F"/>
    <w:rsid w:val="2BAF5B74"/>
    <w:rsid w:val="2CB47BAD"/>
    <w:rsid w:val="2CC16BCB"/>
    <w:rsid w:val="2D155C2B"/>
    <w:rsid w:val="2D251DB1"/>
    <w:rsid w:val="2D5B4DC4"/>
    <w:rsid w:val="2D6A12F9"/>
    <w:rsid w:val="2D8838AD"/>
    <w:rsid w:val="2DA952C6"/>
    <w:rsid w:val="2DC56BFE"/>
    <w:rsid w:val="2DEB0B4E"/>
    <w:rsid w:val="2DFE122C"/>
    <w:rsid w:val="2E117BC6"/>
    <w:rsid w:val="2E15280E"/>
    <w:rsid w:val="2E7100FC"/>
    <w:rsid w:val="2E9F0C6A"/>
    <w:rsid w:val="2EBC6AE0"/>
    <w:rsid w:val="2EED66B0"/>
    <w:rsid w:val="2EF11654"/>
    <w:rsid w:val="2F1251F2"/>
    <w:rsid w:val="2F226943"/>
    <w:rsid w:val="2F3D7519"/>
    <w:rsid w:val="2F48200A"/>
    <w:rsid w:val="2F950717"/>
    <w:rsid w:val="2FD53607"/>
    <w:rsid w:val="30064A38"/>
    <w:rsid w:val="300A73E1"/>
    <w:rsid w:val="306169EA"/>
    <w:rsid w:val="30962F3E"/>
    <w:rsid w:val="30B466C4"/>
    <w:rsid w:val="30D17E68"/>
    <w:rsid w:val="30E91386"/>
    <w:rsid w:val="30FF2795"/>
    <w:rsid w:val="31136AEE"/>
    <w:rsid w:val="31450C06"/>
    <w:rsid w:val="3150693A"/>
    <w:rsid w:val="315660F9"/>
    <w:rsid w:val="319506B4"/>
    <w:rsid w:val="31CE35AD"/>
    <w:rsid w:val="31CE3783"/>
    <w:rsid w:val="31EF29F9"/>
    <w:rsid w:val="322F39C7"/>
    <w:rsid w:val="323C475C"/>
    <w:rsid w:val="324F5D1C"/>
    <w:rsid w:val="32604016"/>
    <w:rsid w:val="32797DA2"/>
    <w:rsid w:val="328C47B2"/>
    <w:rsid w:val="329A6ACE"/>
    <w:rsid w:val="32C96B57"/>
    <w:rsid w:val="3306388C"/>
    <w:rsid w:val="3324726E"/>
    <w:rsid w:val="335B6F56"/>
    <w:rsid w:val="33A25EA9"/>
    <w:rsid w:val="33BD3D7F"/>
    <w:rsid w:val="33D9437A"/>
    <w:rsid w:val="34154AEE"/>
    <w:rsid w:val="3432561D"/>
    <w:rsid w:val="34A3771F"/>
    <w:rsid w:val="34A60427"/>
    <w:rsid w:val="34AF1772"/>
    <w:rsid w:val="34CE3671"/>
    <w:rsid w:val="34DA63AE"/>
    <w:rsid w:val="34FE3479"/>
    <w:rsid w:val="35066D51"/>
    <w:rsid w:val="35141A17"/>
    <w:rsid w:val="35684571"/>
    <w:rsid w:val="35A6288A"/>
    <w:rsid w:val="35CB61D5"/>
    <w:rsid w:val="35E341B6"/>
    <w:rsid w:val="35E42057"/>
    <w:rsid w:val="35E528C4"/>
    <w:rsid w:val="360B1D73"/>
    <w:rsid w:val="361C270F"/>
    <w:rsid w:val="361F3323"/>
    <w:rsid w:val="362B1155"/>
    <w:rsid w:val="364112DA"/>
    <w:rsid w:val="36540497"/>
    <w:rsid w:val="36940D38"/>
    <w:rsid w:val="36C5320A"/>
    <w:rsid w:val="36E93760"/>
    <w:rsid w:val="36FD4529"/>
    <w:rsid w:val="37060192"/>
    <w:rsid w:val="3784394E"/>
    <w:rsid w:val="380D1D0F"/>
    <w:rsid w:val="380D4100"/>
    <w:rsid w:val="3823721F"/>
    <w:rsid w:val="38AE3BB0"/>
    <w:rsid w:val="390B0E9D"/>
    <w:rsid w:val="392D11BE"/>
    <w:rsid w:val="394624B6"/>
    <w:rsid w:val="395947E7"/>
    <w:rsid w:val="39A43F87"/>
    <w:rsid w:val="39D56F32"/>
    <w:rsid w:val="39F84BA4"/>
    <w:rsid w:val="39FB23D4"/>
    <w:rsid w:val="3A7A4510"/>
    <w:rsid w:val="3A9F4EA0"/>
    <w:rsid w:val="3ACB5746"/>
    <w:rsid w:val="3ADB3F57"/>
    <w:rsid w:val="3B4345A5"/>
    <w:rsid w:val="3B4E3C4C"/>
    <w:rsid w:val="3B713396"/>
    <w:rsid w:val="3BB20883"/>
    <w:rsid w:val="3BB30E3E"/>
    <w:rsid w:val="3BC21207"/>
    <w:rsid w:val="3BE22473"/>
    <w:rsid w:val="3BE407A4"/>
    <w:rsid w:val="3C142E37"/>
    <w:rsid w:val="3C2A506F"/>
    <w:rsid w:val="3C3D7506"/>
    <w:rsid w:val="3C5263CC"/>
    <w:rsid w:val="3C543E70"/>
    <w:rsid w:val="3C5A4EA4"/>
    <w:rsid w:val="3C736E72"/>
    <w:rsid w:val="3CAF3C37"/>
    <w:rsid w:val="3CE66150"/>
    <w:rsid w:val="3D0A233F"/>
    <w:rsid w:val="3D1E4653"/>
    <w:rsid w:val="3D23427B"/>
    <w:rsid w:val="3D361441"/>
    <w:rsid w:val="3D5A362B"/>
    <w:rsid w:val="3DDE19B0"/>
    <w:rsid w:val="3E2A3166"/>
    <w:rsid w:val="3E34539E"/>
    <w:rsid w:val="3E3B5572"/>
    <w:rsid w:val="3E441C7D"/>
    <w:rsid w:val="3E6B774C"/>
    <w:rsid w:val="3E701975"/>
    <w:rsid w:val="3E8D582D"/>
    <w:rsid w:val="3EBA19A4"/>
    <w:rsid w:val="3EDA04D5"/>
    <w:rsid w:val="3F393434"/>
    <w:rsid w:val="3F5E11B9"/>
    <w:rsid w:val="3F66426C"/>
    <w:rsid w:val="3FBB6DA8"/>
    <w:rsid w:val="3FC956FF"/>
    <w:rsid w:val="3FEF0F46"/>
    <w:rsid w:val="3FFA7677"/>
    <w:rsid w:val="3FFB0539"/>
    <w:rsid w:val="40205795"/>
    <w:rsid w:val="405E097D"/>
    <w:rsid w:val="40856C25"/>
    <w:rsid w:val="40A36A71"/>
    <w:rsid w:val="40C650FF"/>
    <w:rsid w:val="40CF105F"/>
    <w:rsid w:val="4116656E"/>
    <w:rsid w:val="41412411"/>
    <w:rsid w:val="4177661A"/>
    <w:rsid w:val="41C82FD7"/>
    <w:rsid w:val="41D3631F"/>
    <w:rsid w:val="41F27C8D"/>
    <w:rsid w:val="41F466FD"/>
    <w:rsid w:val="42063A2E"/>
    <w:rsid w:val="42115E2E"/>
    <w:rsid w:val="421C3945"/>
    <w:rsid w:val="42280722"/>
    <w:rsid w:val="424859D9"/>
    <w:rsid w:val="424971C2"/>
    <w:rsid w:val="426B41A0"/>
    <w:rsid w:val="42773FB5"/>
    <w:rsid w:val="42812B39"/>
    <w:rsid w:val="429177A8"/>
    <w:rsid w:val="42A67A24"/>
    <w:rsid w:val="42B31897"/>
    <w:rsid w:val="42D17B6A"/>
    <w:rsid w:val="42D846B9"/>
    <w:rsid w:val="42DC0124"/>
    <w:rsid w:val="42EA7744"/>
    <w:rsid w:val="42F445F4"/>
    <w:rsid w:val="42F4675D"/>
    <w:rsid w:val="43694E57"/>
    <w:rsid w:val="438E2DA7"/>
    <w:rsid w:val="43DF2400"/>
    <w:rsid w:val="440D5045"/>
    <w:rsid w:val="44281E42"/>
    <w:rsid w:val="4448179D"/>
    <w:rsid w:val="44984AF4"/>
    <w:rsid w:val="44B13252"/>
    <w:rsid w:val="450377D3"/>
    <w:rsid w:val="451B5F92"/>
    <w:rsid w:val="451F6FA3"/>
    <w:rsid w:val="45625E40"/>
    <w:rsid w:val="4570254F"/>
    <w:rsid w:val="45825D50"/>
    <w:rsid w:val="45863103"/>
    <w:rsid w:val="459E4FC8"/>
    <w:rsid w:val="45B55022"/>
    <w:rsid w:val="45BE6191"/>
    <w:rsid w:val="45DD4FD0"/>
    <w:rsid w:val="45F94FAF"/>
    <w:rsid w:val="460C5979"/>
    <w:rsid w:val="4612464E"/>
    <w:rsid w:val="464F1A77"/>
    <w:rsid w:val="467E7709"/>
    <w:rsid w:val="46B01989"/>
    <w:rsid w:val="46E0765B"/>
    <w:rsid w:val="476077FF"/>
    <w:rsid w:val="47701E40"/>
    <w:rsid w:val="47862758"/>
    <w:rsid w:val="47974F72"/>
    <w:rsid w:val="479B1061"/>
    <w:rsid w:val="47A009AB"/>
    <w:rsid w:val="47BF1887"/>
    <w:rsid w:val="47C01792"/>
    <w:rsid w:val="47DE7D4E"/>
    <w:rsid w:val="480304B2"/>
    <w:rsid w:val="4808150F"/>
    <w:rsid w:val="483069DE"/>
    <w:rsid w:val="485E0F99"/>
    <w:rsid w:val="489C5D93"/>
    <w:rsid w:val="48A73429"/>
    <w:rsid w:val="48DA0F1B"/>
    <w:rsid w:val="49632C10"/>
    <w:rsid w:val="498A04F2"/>
    <w:rsid w:val="499F19D0"/>
    <w:rsid w:val="49E9233D"/>
    <w:rsid w:val="4A0B4E23"/>
    <w:rsid w:val="4A1C6083"/>
    <w:rsid w:val="4A292E2A"/>
    <w:rsid w:val="4A3B68B3"/>
    <w:rsid w:val="4A8E3646"/>
    <w:rsid w:val="4AAD1944"/>
    <w:rsid w:val="4AB04721"/>
    <w:rsid w:val="4AB61820"/>
    <w:rsid w:val="4AC31003"/>
    <w:rsid w:val="4AC62B5E"/>
    <w:rsid w:val="4AE93159"/>
    <w:rsid w:val="4AED60FD"/>
    <w:rsid w:val="4AFE671F"/>
    <w:rsid w:val="4B234E40"/>
    <w:rsid w:val="4B347081"/>
    <w:rsid w:val="4B493729"/>
    <w:rsid w:val="4B517775"/>
    <w:rsid w:val="4BD0339A"/>
    <w:rsid w:val="4C0731C2"/>
    <w:rsid w:val="4C394968"/>
    <w:rsid w:val="4C4F59EF"/>
    <w:rsid w:val="4CBB7AFF"/>
    <w:rsid w:val="4CC32450"/>
    <w:rsid w:val="4CCB7E22"/>
    <w:rsid w:val="4D1B5E55"/>
    <w:rsid w:val="4D2269B7"/>
    <w:rsid w:val="4D2624F7"/>
    <w:rsid w:val="4D462159"/>
    <w:rsid w:val="4D5C5FAC"/>
    <w:rsid w:val="4D903CAF"/>
    <w:rsid w:val="4D9513F6"/>
    <w:rsid w:val="4D9E54C8"/>
    <w:rsid w:val="4DA03BF2"/>
    <w:rsid w:val="4DBF6042"/>
    <w:rsid w:val="4DC0211A"/>
    <w:rsid w:val="4DC605B6"/>
    <w:rsid w:val="4DD636F4"/>
    <w:rsid w:val="4DEC0985"/>
    <w:rsid w:val="4DFF16E2"/>
    <w:rsid w:val="4E1C6436"/>
    <w:rsid w:val="4E24465F"/>
    <w:rsid w:val="4E27683A"/>
    <w:rsid w:val="4E334753"/>
    <w:rsid w:val="4E354B62"/>
    <w:rsid w:val="4E362D17"/>
    <w:rsid w:val="4E4955E8"/>
    <w:rsid w:val="4E4E0080"/>
    <w:rsid w:val="4E7C6450"/>
    <w:rsid w:val="4ECC56BB"/>
    <w:rsid w:val="4EF67680"/>
    <w:rsid w:val="4F2765B1"/>
    <w:rsid w:val="4F285975"/>
    <w:rsid w:val="4F34639F"/>
    <w:rsid w:val="4F72687E"/>
    <w:rsid w:val="4FA647B6"/>
    <w:rsid w:val="4FB97441"/>
    <w:rsid w:val="4FE65AA8"/>
    <w:rsid w:val="4FFD30B0"/>
    <w:rsid w:val="50187D28"/>
    <w:rsid w:val="50451ABF"/>
    <w:rsid w:val="5052250D"/>
    <w:rsid w:val="506901EE"/>
    <w:rsid w:val="50961E20"/>
    <w:rsid w:val="50AB610F"/>
    <w:rsid w:val="50D11CF0"/>
    <w:rsid w:val="513A477C"/>
    <w:rsid w:val="51867298"/>
    <w:rsid w:val="51B00AED"/>
    <w:rsid w:val="52025DEC"/>
    <w:rsid w:val="52195EDF"/>
    <w:rsid w:val="521A6AF9"/>
    <w:rsid w:val="522F787C"/>
    <w:rsid w:val="52313387"/>
    <w:rsid w:val="52450A5A"/>
    <w:rsid w:val="52B30520"/>
    <w:rsid w:val="52B9388A"/>
    <w:rsid w:val="52CC6134"/>
    <w:rsid w:val="52DC42BA"/>
    <w:rsid w:val="52E04D27"/>
    <w:rsid w:val="5332738F"/>
    <w:rsid w:val="533E743B"/>
    <w:rsid w:val="535E5E95"/>
    <w:rsid w:val="53734AFF"/>
    <w:rsid w:val="539A390F"/>
    <w:rsid w:val="53B26C25"/>
    <w:rsid w:val="53DB3477"/>
    <w:rsid w:val="53EF4810"/>
    <w:rsid w:val="53F62483"/>
    <w:rsid w:val="54266BB1"/>
    <w:rsid w:val="544E6FB0"/>
    <w:rsid w:val="54761BC2"/>
    <w:rsid w:val="54983F44"/>
    <w:rsid w:val="54A3122C"/>
    <w:rsid w:val="54AF6B42"/>
    <w:rsid w:val="54BB3E92"/>
    <w:rsid w:val="54FD3190"/>
    <w:rsid w:val="550D5818"/>
    <w:rsid w:val="55913979"/>
    <w:rsid w:val="55A37985"/>
    <w:rsid w:val="55BA37EE"/>
    <w:rsid w:val="55D0112C"/>
    <w:rsid w:val="55DD6F2A"/>
    <w:rsid w:val="564F1ABE"/>
    <w:rsid w:val="56772390"/>
    <w:rsid w:val="568C0E5A"/>
    <w:rsid w:val="568F2FC7"/>
    <w:rsid w:val="56C6338F"/>
    <w:rsid w:val="56D76786"/>
    <w:rsid w:val="56E23970"/>
    <w:rsid w:val="56E86B2B"/>
    <w:rsid w:val="571C3CCD"/>
    <w:rsid w:val="57596EF3"/>
    <w:rsid w:val="578F220A"/>
    <w:rsid w:val="57F5774F"/>
    <w:rsid w:val="57FC07D9"/>
    <w:rsid w:val="58500F22"/>
    <w:rsid w:val="5875427E"/>
    <w:rsid w:val="5877635F"/>
    <w:rsid w:val="588E0520"/>
    <w:rsid w:val="589A1710"/>
    <w:rsid w:val="58C31C7C"/>
    <w:rsid w:val="59014A93"/>
    <w:rsid w:val="591409E5"/>
    <w:rsid w:val="591C0009"/>
    <w:rsid w:val="593B1033"/>
    <w:rsid w:val="596C20D9"/>
    <w:rsid w:val="59724FAA"/>
    <w:rsid w:val="59752101"/>
    <w:rsid w:val="59960D90"/>
    <w:rsid w:val="59EA441A"/>
    <w:rsid w:val="59FE2A95"/>
    <w:rsid w:val="5A004298"/>
    <w:rsid w:val="5A0D7942"/>
    <w:rsid w:val="5A342F49"/>
    <w:rsid w:val="5A374932"/>
    <w:rsid w:val="5A8B6AF9"/>
    <w:rsid w:val="5A9E1971"/>
    <w:rsid w:val="5AAE27F7"/>
    <w:rsid w:val="5AC32943"/>
    <w:rsid w:val="5ACF0F3A"/>
    <w:rsid w:val="5B295AFC"/>
    <w:rsid w:val="5B910D3F"/>
    <w:rsid w:val="5BC82514"/>
    <w:rsid w:val="5C3E4F80"/>
    <w:rsid w:val="5C417E8D"/>
    <w:rsid w:val="5C6B1600"/>
    <w:rsid w:val="5C921AD0"/>
    <w:rsid w:val="5C9B41C3"/>
    <w:rsid w:val="5CAA4998"/>
    <w:rsid w:val="5CFC221B"/>
    <w:rsid w:val="5D0F4006"/>
    <w:rsid w:val="5D410337"/>
    <w:rsid w:val="5D48096D"/>
    <w:rsid w:val="5D4D3341"/>
    <w:rsid w:val="5D8836E1"/>
    <w:rsid w:val="5DA665F1"/>
    <w:rsid w:val="5DE11E50"/>
    <w:rsid w:val="5DE923EB"/>
    <w:rsid w:val="5DFD51DB"/>
    <w:rsid w:val="5E0D36E5"/>
    <w:rsid w:val="5E107E6E"/>
    <w:rsid w:val="5E1C75C0"/>
    <w:rsid w:val="5E5075E3"/>
    <w:rsid w:val="5EB1368B"/>
    <w:rsid w:val="5EE94C0E"/>
    <w:rsid w:val="5F29749D"/>
    <w:rsid w:val="5F306D36"/>
    <w:rsid w:val="5F5900F1"/>
    <w:rsid w:val="5F8E64F1"/>
    <w:rsid w:val="5FB25365"/>
    <w:rsid w:val="5FC6703C"/>
    <w:rsid w:val="60133B25"/>
    <w:rsid w:val="601F6FA4"/>
    <w:rsid w:val="602444C8"/>
    <w:rsid w:val="60394308"/>
    <w:rsid w:val="607C3753"/>
    <w:rsid w:val="60931392"/>
    <w:rsid w:val="60AA1808"/>
    <w:rsid w:val="60C30855"/>
    <w:rsid w:val="60DF7910"/>
    <w:rsid w:val="60E80746"/>
    <w:rsid w:val="60F75813"/>
    <w:rsid w:val="612C4CB6"/>
    <w:rsid w:val="612F7F06"/>
    <w:rsid w:val="61421EFD"/>
    <w:rsid w:val="61493601"/>
    <w:rsid w:val="615C5041"/>
    <w:rsid w:val="615F0947"/>
    <w:rsid w:val="619F6AEB"/>
    <w:rsid w:val="61D85F42"/>
    <w:rsid w:val="62562807"/>
    <w:rsid w:val="626A0EBF"/>
    <w:rsid w:val="629773D1"/>
    <w:rsid w:val="629C627B"/>
    <w:rsid w:val="62A15E53"/>
    <w:rsid w:val="62A73A0B"/>
    <w:rsid w:val="62B00965"/>
    <w:rsid w:val="62CC1029"/>
    <w:rsid w:val="62CD03E1"/>
    <w:rsid w:val="62DC23EB"/>
    <w:rsid w:val="62E15DBA"/>
    <w:rsid w:val="63182FFE"/>
    <w:rsid w:val="63371037"/>
    <w:rsid w:val="634C4518"/>
    <w:rsid w:val="63983EC4"/>
    <w:rsid w:val="639854D4"/>
    <w:rsid w:val="63A46822"/>
    <w:rsid w:val="63BD39CD"/>
    <w:rsid w:val="63C04533"/>
    <w:rsid w:val="63C5603D"/>
    <w:rsid w:val="63D72C60"/>
    <w:rsid w:val="64A95740"/>
    <w:rsid w:val="64AF7DF0"/>
    <w:rsid w:val="64E72AC4"/>
    <w:rsid w:val="650A0EA3"/>
    <w:rsid w:val="650F7AAA"/>
    <w:rsid w:val="65145691"/>
    <w:rsid w:val="65245052"/>
    <w:rsid w:val="65564EE8"/>
    <w:rsid w:val="6576688A"/>
    <w:rsid w:val="65C43BE9"/>
    <w:rsid w:val="65D735F4"/>
    <w:rsid w:val="65DD063F"/>
    <w:rsid w:val="66066D0A"/>
    <w:rsid w:val="6622558B"/>
    <w:rsid w:val="66312713"/>
    <w:rsid w:val="66393CAB"/>
    <w:rsid w:val="664805B8"/>
    <w:rsid w:val="665A2A0A"/>
    <w:rsid w:val="668E544C"/>
    <w:rsid w:val="669A3AC9"/>
    <w:rsid w:val="67E017FE"/>
    <w:rsid w:val="67F31D3A"/>
    <w:rsid w:val="68045D1D"/>
    <w:rsid w:val="681B1F4D"/>
    <w:rsid w:val="68451BCA"/>
    <w:rsid w:val="684652BD"/>
    <w:rsid w:val="68901A15"/>
    <w:rsid w:val="68A96556"/>
    <w:rsid w:val="68C96DCD"/>
    <w:rsid w:val="68DE5612"/>
    <w:rsid w:val="690F418B"/>
    <w:rsid w:val="69415C00"/>
    <w:rsid w:val="695606A3"/>
    <w:rsid w:val="69767754"/>
    <w:rsid w:val="698F2FDF"/>
    <w:rsid w:val="69A57B3E"/>
    <w:rsid w:val="69A83454"/>
    <w:rsid w:val="69DC279E"/>
    <w:rsid w:val="69EE3E34"/>
    <w:rsid w:val="6A25071A"/>
    <w:rsid w:val="6A363544"/>
    <w:rsid w:val="6A673835"/>
    <w:rsid w:val="6A7A2736"/>
    <w:rsid w:val="6A7B4B9C"/>
    <w:rsid w:val="6A83637D"/>
    <w:rsid w:val="6A8D7999"/>
    <w:rsid w:val="6AA027A1"/>
    <w:rsid w:val="6AC11D22"/>
    <w:rsid w:val="6B051E88"/>
    <w:rsid w:val="6B190D70"/>
    <w:rsid w:val="6B3D7D61"/>
    <w:rsid w:val="6B9E1D81"/>
    <w:rsid w:val="6BA651DA"/>
    <w:rsid w:val="6BBC43A7"/>
    <w:rsid w:val="6BF17AD4"/>
    <w:rsid w:val="6C2F36D3"/>
    <w:rsid w:val="6C7D1E1B"/>
    <w:rsid w:val="6C89456C"/>
    <w:rsid w:val="6C8E5FFC"/>
    <w:rsid w:val="6C970A7F"/>
    <w:rsid w:val="6C993D11"/>
    <w:rsid w:val="6CB003DA"/>
    <w:rsid w:val="6CCF7258"/>
    <w:rsid w:val="6CF60588"/>
    <w:rsid w:val="6D005E2A"/>
    <w:rsid w:val="6DA611C9"/>
    <w:rsid w:val="6DDC6B6F"/>
    <w:rsid w:val="6E0A1043"/>
    <w:rsid w:val="6E0E2009"/>
    <w:rsid w:val="6E483F97"/>
    <w:rsid w:val="6E6B09BB"/>
    <w:rsid w:val="6E9B6042"/>
    <w:rsid w:val="6EA03D2B"/>
    <w:rsid w:val="6EA8395D"/>
    <w:rsid w:val="6EEE4117"/>
    <w:rsid w:val="6F05530A"/>
    <w:rsid w:val="6F447A5A"/>
    <w:rsid w:val="6F8161FC"/>
    <w:rsid w:val="6FA51A5F"/>
    <w:rsid w:val="6FA629D4"/>
    <w:rsid w:val="706145B1"/>
    <w:rsid w:val="707964EB"/>
    <w:rsid w:val="7087334C"/>
    <w:rsid w:val="70BB2EF0"/>
    <w:rsid w:val="70D10182"/>
    <w:rsid w:val="70D42489"/>
    <w:rsid w:val="70D46AC8"/>
    <w:rsid w:val="70EB0923"/>
    <w:rsid w:val="7111577A"/>
    <w:rsid w:val="713B41ED"/>
    <w:rsid w:val="71597A3B"/>
    <w:rsid w:val="7176163B"/>
    <w:rsid w:val="718A368C"/>
    <w:rsid w:val="71EC6A6E"/>
    <w:rsid w:val="71F60B93"/>
    <w:rsid w:val="7239287E"/>
    <w:rsid w:val="7275543D"/>
    <w:rsid w:val="72A71F44"/>
    <w:rsid w:val="72D038BA"/>
    <w:rsid w:val="72E50C43"/>
    <w:rsid w:val="72F55F04"/>
    <w:rsid w:val="731703A9"/>
    <w:rsid w:val="73186275"/>
    <w:rsid w:val="73653682"/>
    <w:rsid w:val="73D425F7"/>
    <w:rsid w:val="73F57BA2"/>
    <w:rsid w:val="747808C4"/>
    <w:rsid w:val="74822137"/>
    <w:rsid w:val="74BD51E1"/>
    <w:rsid w:val="74FA10A7"/>
    <w:rsid w:val="75001BE0"/>
    <w:rsid w:val="750A2023"/>
    <w:rsid w:val="7511431D"/>
    <w:rsid w:val="75253776"/>
    <w:rsid w:val="7526648A"/>
    <w:rsid w:val="757D508B"/>
    <w:rsid w:val="758F5B03"/>
    <w:rsid w:val="75CB078A"/>
    <w:rsid w:val="75D00C83"/>
    <w:rsid w:val="75F644AF"/>
    <w:rsid w:val="75F96786"/>
    <w:rsid w:val="763C1508"/>
    <w:rsid w:val="766A1EAC"/>
    <w:rsid w:val="7676736A"/>
    <w:rsid w:val="76933951"/>
    <w:rsid w:val="769F659A"/>
    <w:rsid w:val="76B620C0"/>
    <w:rsid w:val="76C90859"/>
    <w:rsid w:val="76CB53B8"/>
    <w:rsid w:val="77046B81"/>
    <w:rsid w:val="77146904"/>
    <w:rsid w:val="771D661B"/>
    <w:rsid w:val="771F0F97"/>
    <w:rsid w:val="775E46DE"/>
    <w:rsid w:val="778D19E8"/>
    <w:rsid w:val="77C27E66"/>
    <w:rsid w:val="77D841B6"/>
    <w:rsid w:val="77D90BB3"/>
    <w:rsid w:val="77F25B29"/>
    <w:rsid w:val="781E6489"/>
    <w:rsid w:val="782235EB"/>
    <w:rsid w:val="78493A48"/>
    <w:rsid w:val="78511886"/>
    <w:rsid w:val="786D7E85"/>
    <w:rsid w:val="78782A0D"/>
    <w:rsid w:val="789774CE"/>
    <w:rsid w:val="789855AA"/>
    <w:rsid w:val="789F5119"/>
    <w:rsid w:val="78C640F0"/>
    <w:rsid w:val="78EE1454"/>
    <w:rsid w:val="79224A47"/>
    <w:rsid w:val="79A2171F"/>
    <w:rsid w:val="79A252FF"/>
    <w:rsid w:val="79A80381"/>
    <w:rsid w:val="79BB4356"/>
    <w:rsid w:val="79C0001B"/>
    <w:rsid w:val="79CA3E8A"/>
    <w:rsid w:val="79D33056"/>
    <w:rsid w:val="79DF50CE"/>
    <w:rsid w:val="7A184713"/>
    <w:rsid w:val="7A396D3C"/>
    <w:rsid w:val="7A626407"/>
    <w:rsid w:val="7A7A7D68"/>
    <w:rsid w:val="7AC202F9"/>
    <w:rsid w:val="7AD42B4F"/>
    <w:rsid w:val="7B3E7526"/>
    <w:rsid w:val="7B631844"/>
    <w:rsid w:val="7B664C28"/>
    <w:rsid w:val="7B8E6D49"/>
    <w:rsid w:val="7BA36132"/>
    <w:rsid w:val="7BE13AB3"/>
    <w:rsid w:val="7C0C6436"/>
    <w:rsid w:val="7C126B8D"/>
    <w:rsid w:val="7C1B5FFE"/>
    <w:rsid w:val="7C26369C"/>
    <w:rsid w:val="7C282D74"/>
    <w:rsid w:val="7C34644E"/>
    <w:rsid w:val="7C490025"/>
    <w:rsid w:val="7C706675"/>
    <w:rsid w:val="7C89510B"/>
    <w:rsid w:val="7C9E5A24"/>
    <w:rsid w:val="7CAD3C62"/>
    <w:rsid w:val="7CB0616A"/>
    <w:rsid w:val="7CE00504"/>
    <w:rsid w:val="7CEB69C7"/>
    <w:rsid w:val="7D0E2C70"/>
    <w:rsid w:val="7D1F0C75"/>
    <w:rsid w:val="7D21072D"/>
    <w:rsid w:val="7D23440D"/>
    <w:rsid w:val="7D33410B"/>
    <w:rsid w:val="7D37341E"/>
    <w:rsid w:val="7D62117D"/>
    <w:rsid w:val="7D67229E"/>
    <w:rsid w:val="7DCA1F7D"/>
    <w:rsid w:val="7DCB3F94"/>
    <w:rsid w:val="7E027CFB"/>
    <w:rsid w:val="7E3E1EF2"/>
    <w:rsid w:val="7E4827AD"/>
    <w:rsid w:val="7E686F3E"/>
    <w:rsid w:val="7E823AFC"/>
    <w:rsid w:val="7E951513"/>
    <w:rsid w:val="7EF74FC9"/>
    <w:rsid w:val="7F2E7B0B"/>
    <w:rsid w:val="7F3D5140"/>
    <w:rsid w:val="7F622458"/>
    <w:rsid w:val="7F9062E5"/>
    <w:rsid w:val="7F933BD8"/>
    <w:rsid w:val="7F9C6122"/>
    <w:rsid w:val="7FAF7F8E"/>
    <w:rsid w:val="7FCF0FEF"/>
    <w:rsid w:val="7FDB2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9F20A1-0867-4D34-8293-5C93FC61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76" w:lineRule="auto"/>
      <w:jc w:val="both"/>
    </w:pPr>
    <w:rPr>
      <w:kern w:val="2"/>
      <w:sz w:val="21"/>
    </w:rPr>
  </w:style>
  <w:style w:type="paragraph" w:styleId="1">
    <w:name w:val="heading 1"/>
    <w:basedOn w:val="a"/>
    <w:next w:val="YJ--"/>
    <w:qFormat/>
    <w:pPr>
      <w:keepNext/>
      <w:keepLines/>
      <w:numPr>
        <w:numId w:val="1"/>
      </w:numPr>
      <w:pBdr>
        <w:top w:val="single" w:sz="12" w:space="3" w:color="auto"/>
      </w:pBdr>
      <w:ind w:left="630"/>
      <w:outlineLvl w:val="0"/>
    </w:pPr>
    <w:rPr>
      <w:rFonts w:ascii="Arial" w:eastAsia="MS Mincho" w:hAnsi="Arial"/>
      <w:sz w:val="32"/>
    </w:rPr>
  </w:style>
  <w:style w:type="paragraph" w:styleId="2">
    <w:name w:val="heading 2"/>
    <w:basedOn w:val="a"/>
    <w:next w:val="a"/>
    <w:qFormat/>
    <w:pPr>
      <w:spacing w:before="180"/>
      <w:ind w:rightChars="100" w:right="100"/>
      <w:outlineLvl w:val="1"/>
    </w:pPr>
    <w:rPr>
      <w:sz w:val="28"/>
    </w:rPr>
  </w:style>
  <w:style w:type="paragraph" w:styleId="3">
    <w:name w:val="heading 3"/>
    <w:basedOn w:val="2"/>
    <w:next w:val="a"/>
    <w:qFormat/>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YJ--">
    <w:name w:val="YJ--正文"/>
    <w:basedOn w:val="a"/>
    <w:qFormat/>
    <w:pPr>
      <w:spacing w:beforeLines="150" w:afterLines="100"/>
      <w:ind w:firstLineChars="200" w:firstLine="1440"/>
    </w:pPr>
    <w:rPr>
      <w:rFonts w:eastAsia="Times New Roman" w:cs="宋体"/>
    </w:rPr>
  </w:style>
  <w:style w:type="paragraph" w:styleId="a3">
    <w:name w:val="caption"/>
    <w:basedOn w:val="a"/>
    <w:next w:val="a"/>
    <w:uiPriority w:val="99"/>
    <w:unhideWhenUsed/>
    <w:qFormat/>
    <w:pPr>
      <w:spacing w:line="240" w:lineRule="auto"/>
    </w:pPr>
    <w:rPr>
      <w:b/>
      <w:bCs/>
      <w:color w:val="4F81BD" w:themeColor="accent1"/>
      <w:sz w:val="18"/>
      <w:szCs w:val="18"/>
    </w:rPr>
  </w:style>
  <w:style w:type="paragraph" w:styleId="a4">
    <w:name w:val="Document Map"/>
    <w:basedOn w:val="a"/>
    <w:link w:val="Char"/>
    <w:uiPriority w:val="99"/>
    <w:semiHidden/>
    <w:unhideWhenUsed/>
    <w:qFormat/>
    <w:pPr>
      <w:spacing w:line="240" w:lineRule="auto"/>
    </w:pPr>
    <w:rPr>
      <w:rFonts w:ascii="Tahoma" w:hAnsi="Tahoma" w:cs="Tahoma"/>
      <w:sz w:val="16"/>
      <w:szCs w:val="16"/>
    </w:rPr>
  </w:style>
  <w:style w:type="paragraph" w:styleId="a5">
    <w:name w:val="annotation text"/>
    <w:basedOn w:val="a"/>
    <w:link w:val="Char0"/>
    <w:uiPriority w:val="99"/>
    <w:semiHidden/>
    <w:unhideWhenUsed/>
    <w:qFormat/>
    <w:pPr>
      <w:jc w:val="left"/>
    </w:pPr>
  </w:style>
  <w:style w:type="paragraph" w:styleId="a6">
    <w:name w:val="Body Text"/>
    <w:basedOn w:val="a"/>
    <w:unhideWhenUsed/>
    <w:qFormat/>
    <w:pPr>
      <w:widowControl w:val="0"/>
    </w:pPr>
    <w:rPr>
      <w:i/>
    </w:rPr>
  </w:style>
  <w:style w:type="paragraph" w:styleId="20">
    <w:name w:val="List 2"/>
    <w:basedOn w:val="a7"/>
    <w:qFormat/>
    <w:pPr>
      <w:ind w:left="851"/>
    </w:pPr>
  </w:style>
  <w:style w:type="paragraph" w:styleId="a7">
    <w:name w:val="List"/>
    <w:basedOn w:val="a"/>
    <w:qFormat/>
    <w:pPr>
      <w:ind w:left="568" w:hanging="284"/>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Char1"/>
    <w:uiPriority w:val="99"/>
    <w:semiHidden/>
    <w:unhideWhenUsed/>
    <w:qFormat/>
    <w:pPr>
      <w:spacing w:line="240" w:lineRule="auto"/>
    </w:pPr>
    <w:rPr>
      <w:rFonts w:ascii="Tahoma" w:hAnsi="Tahoma" w:cs="Tahoma"/>
      <w:sz w:val="16"/>
      <w:szCs w:val="16"/>
    </w:rPr>
  </w:style>
  <w:style w:type="paragraph" w:styleId="a9">
    <w:name w:val="footer"/>
    <w:basedOn w:val="a"/>
    <w:link w:val="Char2"/>
    <w:uiPriority w:val="99"/>
    <w:unhideWhenUsed/>
    <w:qFormat/>
    <w:pPr>
      <w:tabs>
        <w:tab w:val="center" w:pos="4153"/>
        <w:tab w:val="right" w:pos="8306"/>
      </w:tabs>
      <w:snapToGrid w:val="0"/>
      <w:jc w:val="left"/>
    </w:pPr>
    <w:rPr>
      <w:sz w:val="18"/>
      <w:szCs w:val="18"/>
    </w:rPr>
  </w:style>
  <w:style w:type="paragraph" w:styleId="aa">
    <w:name w:val="header"/>
    <w:basedOn w:val="a"/>
    <w:link w:val="Char3"/>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b">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spacing w:before="50" w:after="50"/>
      <w:ind w:leftChars="200" w:left="862"/>
    </w:pPr>
    <w:rPr>
      <w:b/>
      <w:i/>
      <w:sz w:val="20"/>
    </w:rPr>
  </w:style>
  <w:style w:type="paragraph" w:styleId="ac">
    <w:name w:val="Normal (Web)"/>
    <w:basedOn w:val="a"/>
    <w:semiHidden/>
    <w:unhideWhenUsed/>
    <w:qFormat/>
    <w:pPr>
      <w:spacing w:beforeAutospacing="1" w:afterAutospacing="1"/>
      <w:jc w:val="left"/>
    </w:pPr>
    <w:rPr>
      <w:kern w:val="0"/>
      <w:sz w:val="24"/>
    </w:rPr>
  </w:style>
  <w:style w:type="paragraph" w:styleId="ad">
    <w:name w:val="annotation subject"/>
    <w:basedOn w:val="a5"/>
    <w:next w:val="a5"/>
    <w:link w:val="Char4"/>
    <w:uiPriority w:val="99"/>
    <w:semiHidden/>
    <w:unhideWhenUsed/>
    <w:qFormat/>
    <w:pPr>
      <w:spacing w:line="240" w:lineRule="auto"/>
      <w:jc w:val="both"/>
    </w:pPr>
    <w:rPr>
      <w:b/>
      <w:bCs/>
      <w:sz w:val="20"/>
    </w:rPr>
  </w:style>
  <w:style w:type="table" w:styleId="ae">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page number"/>
    <w:basedOn w:val="a0"/>
    <w:semiHidden/>
    <w:qFormat/>
  </w:style>
  <w:style w:type="character" w:styleId="af1">
    <w:name w:val="Emphasis"/>
    <w:qFormat/>
    <w:rPr>
      <w:i/>
      <w:iCs/>
    </w:rPr>
  </w:style>
  <w:style w:type="character" w:styleId="af2">
    <w:name w:val="Hyperlink"/>
    <w:basedOn w:val="a0"/>
    <w:uiPriority w:val="99"/>
    <w:unhideWhenUsed/>
    <w:qFormat/>
    <w:rPr>
      <w:color w:val="0000FF" w:themeColor="hyperlink"/>
      <w:u w:val="single"/>
    </w:rPr>
  </w:style>
  <w:style w:type="character" w:styleId="af3">
    <w:name w:val="annotation reference"/>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qFormat/>
    <w:pPr>
      <w:numPr>
        <w:numId w:val="4"/>
      </w:numPr>
      <w:ind w:leftChars="200" w:left="862" w:hangingChars="200" w:hanging="442"/>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f4">
    <w:name w:val="List Paragraph"/>
    <w:basedOn w:val="a"/>
    <w:link w:val="Char5"/>
    <w:uiPriority w:val="34"/>
    <w:qFormat/>
    <w:pPr>
      <w:spacing w:beforeLines="0" w:line="240" w:lineRule="auto"/>
      <w:ind w:left="720"/>
      <w:contextualSpacing/>
    </w:pPr>
    <w:rPr>
      <w:rFonts w:eastAsia="Times New Roman"/>
      <w:sz w:val="24"/>
      <w:szCs w:val="24"/>
    </w:rPr>
  </w:style>
  <w:style w:type="paragraph" w:customStyle="1" w:styleId="11">
    <w:name w:val="样式1"/>
    <w:basedOn w:val="a"/>
    <w:qFormat/>
  </w:style>
  <w:style w:type="paragraph" w:customStyle="1" w:styleId="3rdlevelproposal">
    <w:name w:val="3rd level proposal"/>
    <w:basedOn w:val="sub-proposal"/>
    <w:next w:val="a"/>
    <w:qFormat/>
    <w:pPr>
      <w:numPr>
        <w:numId w:val="6"/>
      </w:numPr>
      <w:ind w:leftChars="400" w:left="1282" w:hanging="442"/>
      <w:jc w:val="left"/>
    </w:pPr>
  </w:style>
  <w:style w:type="paragraph" w:customStyle="1" w:styleId="22">
    <w:name w:val="样式2"/>
    <w:basedOn w:val="a"/>
    <w:qFormat/>
  </w:style>
  <w:style w:type="paragraph" w:customStyle="1" w:styleId="3rdlevelobservation">
    <w:name w:val="3rd level observation"/>
    <w:basedOn w:val="sub-observation"/>
    <w:qFormat/>
    <w:pPr>
      <w:numPr>
        <w:numId w:val="7"/>
      </w:numPr>
      <w:ind w:leftChars="400" w:left="1282" w:hanging="442"/>
    </w:pPr>
  </w:style>
  <w:style w:type="paragraph" w:customStyle="1" w:styleId="maintext">
    <w:name w:val="main text"/>
    <w:basedOn w:val="a"/>
    <w:qFormat/>
    <w:pPr>
      <w:spacing w:before="60" w:after="60" w:line="288" w:lineRule="auto"/>
      <w:ind w:firstLineChars="200" w:firstLine="200"/>
    </w:pPr>
    <w:rPr>
      <w:rFonts w:eastAsia="Malgun Gothic"/>
      <w:lang w:eastAsia="ko-KR"/>
    </w:rPr>
  </w:style>
  <w:style w:type="paragraph" w:customStyle="1" w:styleId="TH">
    <w:name w:val="TH"/>
    <w:basedOn w:val="a"/>
    <w:qFormat/>
    <w:pPr>
      <w:keepNext/>
      <w:keepLines/>
      <w:spacing w:beforeLines="0" w:afterLines="0"/>
      <w:jc w:val="center"/>
    </w:pPr>
    <w:rPr>
      <w:rFonts w:ascii="Arial" w:eastAsia="Times New Roman" w:hAnsi="Arial" w:cs="Arial"/>
      <w:b/>
      <w:bCs/>
      <w:kern w:val="0"/>
      <w:sz w:val="24"/>
      <w:szCs w:val="24"/>
      <w:lang w:val="zh-CN" w:eastAsia="en-US"/>
    </w:rPr>
  </w:style>
  <w:style w:type="paragraph" w:customStyle="1" w:styleId="TAH">
    <w:name w:val="TAH"/>
    <w:basedOn w:val="TAC"/>
    <w:qFormat/>
    <w:rPr>
      <w:b/>
    </w:rPr>
  </w:style>
  <w:style w:type="paragraph" w:customStyle="1" w:styleId="TAC">
    <w:name w:val="TAC"/>
    <w:basedOn w:val="TAL"/>
    <w:qFormat/>
    <w:pPr>
      <w:spacing w:beforeLines="0" w:afterLines="0"/>
      <w:jc w:val="center"/>
    </w:pPr>
    <w:rPr>
      <w:rFonts w:eastAsia="Times New Roman" w:cs="Arial"/>
      <w:kern w:val="0"/>
      <w:szCs w:val="18"/>
      <w:lang w:val="zh-CN" w:eastAsia="en-US"/>
    </w:rPr>
  </w:style>
  <w:style w:type="paragraph" w:customStyle="1" w:styleId="TAL">
    <w:name w:val="TAL"/>
    <w:basedOn w:val="a"/>
    <w:qFormat/>
    <w:pPr>
      <w:keepNext/>
      <w:keepLines/>
    </w:pPr>
    <w:rPr>
      <w:rFonts w:ascii="Arial" w:hAnsi="Arial"/>
      <w:sz w:val="18"/>
    </w:rPr>
  </w:style>
  <w:style w:type="character" w:customStyle="1" w:styleId="Char3">
    <w:name w:val="页眉 Char"/>
    <w:basedOn w:val="a0"/>
    <w:link w:val="aa"/>
    <w:semiHidden/>
    <w:qFormat/>
    <w:rPr>
      <w:kern w:val="2"/>
      <w:sz w:val="21"/>
    </w:rPr>
  </w:style>
  <w:style w:type="character" w:customStyle="1" w:styleId="Char2">
    <w:name w:val="页脚 Char"/>
    <w:basedOn w:val="a0"/>
    <w:link w:val="a9"/>
    <w:uiPriority w:val="99"/>
    <w:qFormat/>
    <w:rPr>
      <w:kern w:val="2"/>
      <w:sz w:val="18"/>
      <w:szCs w:val="18"/>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lang w:val="en-GB" w:eastAsia="en-GB"/>
    </w:rPr>
  </w:style>
  <w:style w:type="character" w:customStyle="1" w:styleId="colour">
    <w:name w:val="colour"/>
    <w:basedOn w:val="a0"/>
    <w:qFormat/>
  </w:style>
  <w:style w:type="paragraph" w:customStyle="1" w:styleId="B1">
    <w:name w:val="B1"/>
    <w:basedOn w:val="a7"/>
    <w:qFormat/>
  </w:style>
  <w:style w:type="paragraph" w:customStyle="1" w:styleId="B2">
    <w:name w:val="B2"/>
    <w:basedOn w:val="20"/>
    <w:qFormat/>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3GPPNormalText">
    <w:name w:val="3GPP Normal Text"/>
    <w:basedOn w:val="a6"/>
    <w:qFormat/>
    <w:rPr>
      <w:rFonts w:eastAsia="MS Mincho"/>
      <w:sz w:val="22"/>
    </w:rPr>
  </w:style>
  <w:style w:type="character" w:customStyle="1" w:styleId="Char1">
    <w:name w:val="批注框文本 Char"/>
    <w:basedOn w:val="a0"/>
    <w:link w:val="a8"/>
    <w:uiPriority w:val="99"/>
    <w:semiHidden/>
    <w:qFormat/>
    <w:rPr>
      <w:rFonts w:ascii="Tahoma" w:eastAsia="宋体" w:hAnsi="Tahoma" w:cs="Tahoma"/>
      <w:kern w:val="2"/>
      <w:sz w:val="16"/>
      <w:szCs w:val="16"/>
    </w:rPr>
  </w:style>
  <w:style w:type="character" w:customStyle="1" w:styleId="Char">
    <w:name w:val="文档结构图 Char"/>
    <w:basedOn w:val="a0"/>
    <w:link w:val="a4"/>
    <w:uiPriority w:val="99"/>
    <w:semiHidden/>
    <w:qFormat/>
    <w:rPr>
      <w:rFonts w:ascii="Tahoma" w:eastAsia="宋体" w:hAnsi="Tahoma" w:cs="Tahoma"/>
      <w:kern w:val="2"/>
      <w:sz w:val="16"/>
      <w:szCs w:val="16"/>
    </w:rPr>
  </w:style>
  <w:style w:type="character" w:customStyle="1" w:styleId="Char0">
    <w:name w:val="批注文字 Char"/>
    <w:basedOn w:val="a0"/>
    <w:link w:val="a5"/>
    <w:uiPriority w:val="99"/>
    <w:semiHidden/>
    <w:qFormat/>
    <w:rPr>
      <w:rFonts w:eastAsia="宋体"/>
      <w:kern w:val="2"/>
      <w:sz w:val="21"/>
    </w:rPr>
  </w:style>
  <w:style w:type="character" w:customStyle="1" w:styleId="Char4">
    <w:name w:val="批注主题 Char"/>
    <w:basedOn w:val="Char0"/>
    <w:link w:val="ad"/>
    <w:qFormat/>
    <w:rPr>
      <w:rFonts w:eastAsia="宋体"/>
      <w:kern w:val="2"/>
      <w:sz w:val="21"/>
    </w:rPr>
  </w:style>
  <w:style w:type="character" w:customStyle="1" w:styleId="Char5">
    <w:name w:val="列出段落 Char"/>
    <w:basedOn w:val="a0"/>
    <w:link w:val="af4"/>
    <w:uiPriority w:val="11"/>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baidu.com/link?url=36DumpEITjyw2yd2aIUB5PBW80TKnpRGHVbRcyWnTAF3ydMyGzF5Hy3nROWluIp6fjJofVuwj20Faq5CMlB9KE7njdLvQr7F7O1GbWTYhmu"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BFD453-CD6F-4DFA-AA45-5EB2EA497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3101</Words>
  <Characters>17676</Characters>
  <Application>Microsoft Office Word</Application>
  <DocSecurity>0</DocSecurity>
  <Lines>147</Lines>
  <Paragraphs>41</Paragraphs>
  <ScaleCrop>false</ScaleCrop>
  <Company>ZTE</Company>
  <LinksUpToDate>false</LinksUpToDate>
  <CharactersWithSpaces>20736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xingweimin</cp:lastModifiedBy>
  <cp:revision>22</cp:revision>
  <dcterms:created xsi:type="dcterms:W3CDTF">2021-01-18T02:40:00Z</dcterms:created>
  <dcterms:modified xsi:type="dcterms:W3CDTF">2021-08-07T02:49:00Z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